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52843" w14:textId="77777777" w:rsidR="008E48CE" w:rsidRPr="00E13FF4" w:rsidRDefault="008E48CE" w:rsidP="008E48CE">
      <w:pPr>
        <w:rPr>
          <w:rFonts w:asciiTheme="majorHAnsi" w:hAnsiTheme="majorHAnsi" w:cstheme="majorHAnsi"/>
          <w:lang w:val="pl-PL"/>
        </w:rPr>
      </w:pPr>
      <w:bookmarkStart w:id="0" w:name="_GoBack"/>
      <w:r w:rsidRPr="00E13FF4">
        <w:rPr>
          <w:rFonts w:asciiTheme="majorHAnsi" w:hAnsiTheme="majorHAnsi" w:cstheme="majorHAnsi"/>
          <w:lang w:val="pl-PL"/>
        </w:rPr>
        <w:t>SLIDE 1</w:t>
      </w:r>
    </w:p>
    <w:p w14:paraId="0F5657BA" w14:textId="77777777" w:rsidR="008E48CE" w:rsidRPr="00E13FF4" w:rsidRDefault="008E48CE" w:rsidP="008E48CE">
      <w:pPr>
        <w:rPr>
          <w:rFonts w:asciiTheme="majorHAnsi" w:hAnsiTheme="majorHAnsi" w:cstheme="majorHAnsi"/>
          <w:lang w:val="pl-PL"/>
        </w:rPr>
      </w:pPr>
      <w:r w:rsidRPr="00E13FF4">
        <w:rPr>
          <w:rFonts w:asciiTheme="majorHAnsi" w:hAnsiTheme="majorHAnsi" w:cstheme="majorHAnsi"/>
          <w:lang w:val="pl-PL"/>
        </w:rPr>
        <w:t>introduzione</w:t>
      </w:r>
    </w:p>
    <w:p w14:paraId="7E7035AF" w14:textId="77777777" w:rsidR="008E48CE" w:rsidRPr="00E13FF4" w:rsidRDefault="008E48CE" w:rsidP="008E48CE">
      <w:pPr>
        <w:rPr>
          <w:rFonts w:asciiTheme="majorHAnsi" w:hAnsiTheme="majorHAnsi" w:cstheme="majorHAnsi"/>
          <w:lang w:val="pl-PL"/>
        </w:rPr>
      </w:pPr>
      <w:r w:rsidRPr="00E13FF4">
        <w:rPr>
          <w:rFonts w:asciiTheme="majorHAnsi" w:hAnsiTheme="majorHAnsi" w:cstheme="majorHAnsi"/>
          <w:lang w:val="pl-PL"/>
        </w:rPr>
        <w:t>Il crescente bisogno di maggiore sostenibilità nella nostra società e un migliore utilizzo delle risorse naturali hanno portato a cambiamenti significativi nel modo in cui funziona la nostra economia, e questi cambiamenti diventeranno solo più importanti. Le nuove direttive creano diversi incentivi per le aziende a investire nella green economy. Sempre più investitori tengono conto di fattori non finanziari quando investono, il che può essere un'opportunità per le aziende pro-green di distinguersi.</w:t>
      </w:r>
    </w:p>
    <w:p w14:paraId="31C886D7" w14:textId="77777777" w:rsidR="008E48CE" w:rsidRPr="00E13FF4" w:rsidRDefault="008E48CE" w:rsidP="008E48CE">
      <w:pPr>
        <w:rPr>
          <w:rFonts w:asciiTheme="majorHAnsi" w:hAnsiTheme="majorHAnsi" w:cstheme="majorHAnsi"/>
          <w:lang w:val="pl-PL"/>
        </w:rPr>
      </w:pPr>
      <w:r w:rsidRPr="00E13FF4">
        <w:rPr>
          <w:rFonts w:asciiTheme="majorHAnsi" w:hAnsiTheme="majorHAnsi" w:cstheme="majorHAnsi"/>
          <w:lang w:val="pl-PL"/>
        </w:rPr>
        <w:t>L'ecoeducazione offre alle persone e agli imprenditori l'opportunità di essere maggiormente coinvolti nelle attività ambientali per accelerare il movimento sociale verso un mondo più pulito. Offre inoltre alle aziende l'opportunità di aprirsi al settore verde sia per ragioni etiche che economiche.</w:t>
      </w:r>
    </w:p>
    <w:p w14:paraId="74E9C124" w14:textId="77777777" w:rsidR="008E48CE" w:rsidRPr="00E13FF4" w:rsidRDefault="008E48CE" w:rsidP="008E48CE">
      <w:pPr>
        <w:rPr>
          <w:rFonts w:asciiTheme="majorHAnsi" w:hAnsiTheme="majorHAnsi" w:cstheme="majorHAnsi"/>
          <w:lang w:val="pl-PL"/>
        </w:rPr>
      </w:pPr>
      <w:r w:rsidRPr="00E13FF4">
        <w:rPr>
          <w:rFonts w:asciiTheme="majorHAnsi" w:hAnsiTheme="majorHAnsi" w:cstheme="majorHAnsi"/>
          <w:lang w:val="pl-PL"/>
        </w:rPr>
        <w:t>Il contenuto della formazione è stato sviluppato in conformità con i requisiti del progetto PROGREEN, finanziato da ERASMUS +, e copre le basi della conoscenza nel campo dell'ecoeducazione.</w:t>
      </w:r>
    </w:p>
    <w:p w14:paraId="46A37684" w14:textId="77777777" w:rsidR="008E48CE" w:rsidRPr="00E13FF4" w:rsidRDefault="008E48CE" w:rsidP="008E48CE">
      <w:pPr>
        <w:rPr>
          <w:rFonts w:asciiTheme="majorHAnsi" w:hAnsiTheme="majorHAnsi" w:cstheme="majorHAnsi"/>
          <w:lang w:val="pl-PL"/>
        </w:rPr>
      </w:pPr>
    </w:p>
    <w:p w14:paraId="08068A49" w14:textId="77777777" w:rsidR="008E48CE" w:rsidRPr="00E13FF4" w:rsidRDefault="008E48CE" w:rsidP="008E48CE">
      <w:pPr>
        <w:rPr>
          <w:rFonts w:asciiTheme="majorHAnsi" w:hAnsiTheme="majorHAnsi" w:cstheme="majorHAnsi"/>
          <w:lang w:val="pl-PL"/>
        </w:rPr>
      </w:pPr>
    </w:p>
    <w:p w14:paraId="7DF3CE4F" w14:textId="77777777" w:rsidR="008E48CE" w:rsidRPr="00E13FF4" w:rsidRDefault="008E48CE" w:rsidP="008E48CE">
      <w:pPr>
        <w:rPr>
          <w:rFonts w:asciiTheme="majorHAnsi" w:hAnsiTheme="majorHAnsi" w:cstheme="majorHAnsi"/>
          <w:lang w:val="pl-PL"/>
        </w:rPr>
      </w:pPr>
      <w:r w:rsidRPr="00E13FF4">
        <w:rPr>
          <w:rFonts w:asciiTheme="majorHAnsi" w:hAnsiTheme="majorHAnsi" w:cstheme="majorHAnsi"/>
          <w:lang w:val="pl-PL"/>
        </w:rPr>
        <w:t>SLIDE 2</w:t>
      </w:r>
    </w:p>
    <w:p w14:paraId="0D3EAAF5" w14:textId="77777777" w:rsidR="008E48CE" w:rsidRPr="00E13FF4" w:rsidRDefault="008E48CE" w:rsidP="008E48CE">
      <w:pPr>
        <w:rPr>
          <w:rFonts w:asciiTheme="majorHAnsi" w:hAnsiTheme="majorHAnsi" w:cstheme="majorHAnsi"/>
          <w:lang w:val="pl-PL"/>
        </w:rPr>
      </w:pPr>
      <w:r w:rsidRPr="00E13FF4">
        <w:rPr>
          <w:rFonts w:asciiTheme="majorHAnsi" w:hAnsiTheme="majorHAnsi" w:cstheme="majorHAnsi"/>
          <w:lang w:val="pl-PL"/>
        </w:rPr>
        <w:t>introduzione</w:t>
      </w:r>
    </w:p>
    <w:p w14:paraId="38312F07" w14:textId="77777777" w:rsidR="008E48CE" w:rsidRPr="00E13FF4" w:rsidRDefault="008E48CE" w:rsidP="008E48CE">
      <w:pPr>
        <w:rPr>
          <w:rFonts w:asciiTheme="majorHAnsi" w:hAnsiTheme="majorHAnsi" w:cstheme="majorHAnsi"/>
          <w:lang w:val="pl-PL"/>
        </w:rPr>
      </w:pPr>
      <w:r w:rsidRPr="00E13FF4">
        <w:rPr>
          <w:rFonts w:asciiTheme="majorHAnsi" w:hAnsiTheme="majorHAnsi" w:cstheme="majorHAnsi"/>
          <w:lang w:val="pl-PL"/>
        </w:rPr>
        <w:t>L'economia verde si riferisce a un'economia che mira a ridurre l'impatto delle attività umane sull'ambiente insieme allo sviluppo sostenibile. Si basa su 3 pilastri:</w:t>
      </w:r>
    </w:p>
    <w:p w14:paraId="51E5F7F5" w14:textId="77777777" w:rsidR="008E48CE" w:rsidRPr="00E13FF4" w:rsidRDefault="008E48CE" w:rsidP="008E48CE">
      <w:pPr>
        <w:rPr>
          <w:rFonts w:asciiTheme="majorHAnsi" w:hAnsiTheme="majorHAnsi" w:cstheme="majorHAnsi"/>
          <w:lang w:val="pl-PL"/>
        </w:rPr>
      </w:pPr>
      <w:r w:rsidRPr="00E13FF4">
        <w:rPr>
          <w:rFonts w:asciiTheme="majorHAnsi" w:hAnsiTheme="majorHAnsi" w:cstheme="majorHAnsi"/>
          <w:lang w:val="pl-PL"/>
        </w:rPr>
        <w:t>1) Economia</w:t>
      </w:r>
    </w:p>
    <w:p w14:paraId="7E6658BA" w14:textId="77777777" w:rsidR="008E48CE" w:rsidRPr="00E13FF4" w:rsidRDefault="008E48CE" w:rsidP="008E48CE">
      <w:pPr>
        <w:rPr>
          <w:rFonts w:asciiTheme="majorHAnsi" w:hAnsiTheme="majorHAnsi" w:cstheme="majorHAnsi"/>
          <w:lang w:val="pl-PL"/>
        </w:rPr>
      </w:pPr>
      <w:r w:rsidRPr="00E13FF4">
        <w:rPr>
          <w:rFonts w:asciiTheme="majorHAnsi" w:hAnsiTheme="majorHAnsi" w:cstheme="majorHAnsi"/>
          <w:lang w:val="pl-PL"/>
        </w:rPr>
        <w:t>2) Società</w:t>
      </w:r>
    </w:p>
    <w:p w14:paraId="3766D8E6" w14:textId="77777777" w:rsidR="008E48CE" w:rsidRPr="00E13FF4" w:rsidRDefault="008E48CE" w:rsidP="008E48CE">
      <w:pPr>
        <w:rPr>
          <w:rFonts w:asciiTheme="majorHAnsi" w:hAnsiTheme="majorHAnsi" w:cstheme="majorHAnsi"/>
          <w:lang w:val="pl-PL"/>
        </w:rPr>
      </w:pPr>
      <w:r w:rsidRPr="00E13FF4">
        <w:rPr>
          <w:rFonts w:asciiTheme="majorHAnsi" w:hAnsiTheme="majorHAnsi" w:cstheme="majorHAnsi"/>
          <w:lang w:val="pl-PL"/>
        </w:rPr>
        <w:t>3) Ambiente</w:t>
      </w:r>
    </w:p>
    <w:p w14:paraId="7F9BB6CF" w14:textId="77777777" w:rsidR="008E48CE" w:rsidRPr="00E13FF4" w:rsidRDefault="008E48CE" w:rsidP="008E48CE">
      <w:pPr>
        <w:rPr>
          <w:rFonts w:asciiTheme="majorHAnsi" w:hAnsiTheme="majorHAnsi" w:cstheme="majorHAnsi"/>
          <w:lang w:val="pl-PL"/>
        </w:rPr>
      </w:pPr>
      <w:r w:rsidRPr="00E13FF4">
        <w:rPr>
          <w:rFonts w:asciiTheme="majorHAnsi" w:hAnsiTheme="majorHAnsi" w:cstheme="majorHAnsi"/>
          <w:lang w:val="pl-PL"/>
        </w:rPr>
        <w:t>Nel 2018, l'economia verde ha raggiunto l'industria dei combustibili fossili e ora vale circa $ 4 trilioni, con la maggior parte del valore proveniente da energia pulita, maggiore efficienza energetica e servizi per l'acqua, i rifiuti e l'inquinamento. Secondo le Nazioni Unite, se il tasso attuale verrà mantenuto, la green economy potrebbe rappresentare circa il 10% del valore del mercato mondiale entro il 2030.</w:t>
      </w:r>
    </w:p>
    <w:p w14:paraId="13C11970" w14:textId="77777777" w:rsidR="00C24A2E" w:rsidRPr="00E13FF4" w:rsidRDefault="00C24A2E" w:rsidP="00C24A2E">
      <w:pPr>
        <w:rPr>
          <w:rFonts w:asciiTheme="majorHAnsi" w:hAnsiTheme="majorHAnsi" w:cstheme="majorHAnsi"/>
          <w:lang w:val="pl-PL"/>
        </w:rPr>
      </w:pPr>
    </w:p>
    <w:p w14:paraId="71F9A970" w14:textId="77777777" w:rsidR="00C24A2E" w:rsidRPr="00E13FF4" w:rsidRDefault="00C24A2E">
      <w:pPr>
        <w:rPr>
          <w:rFonts w:asciiTheme="majorHAnsi" w:hAnsiTheme="majorHAnsi" w:cstheme="majorHAnsi"/>
          <w:lang w:val="pl-PL"/>
        </w:rPr>
      </w:pPr>
      <w:r w:rsidRPr="00E13FF4">
        <w:rPr>
          <w:rFonts w:asciiTheme="majorHAnsi" w:hAnsiTheme="majorHAnsi" w:cstheme="majorHAnsi"/>
          <w:lang w:val="pl-PL"/>
        </w:rPr>
        <w:br w:type="page"/>
      </w:r>
    </w:p>
    <w:p w14:paraId="11E62008" w14:textId="77777777" w:rsidR="00C24A2E" w:rsidRPr="00E13FF4" w:rsidRDefault="00C24A2E" w:rsidP="00C24A2E">
      <w:pPr>
        <w:rPr>
          <w:rFonts w:asciiTheme="majorHAnsi" w:hAnsiTheme="majorHAnsi" w:cstheme="majorHAnsi"/>
          <w:lang w:val="pl-PL"/>
        </w:rPr>
      </w:pPr>
      <w:r w:rsidRPr="00E13FF4">
        <w:rPr>
          <w:rFonts w:asciiTheme="majorHAnsi" w:hAnsiTheme="majorHAnsi" w:cstheme="majorHAnsi"/>
          <w:lang w:val="pl-PL"/>
        </w:rPr>
        <w:lastRenderedPageBreak/>
        <w:t>SLIDE 3</w:t>
      </w:r>
    </w:p>
    <w:p w14:paraId="44678D93" w14:textId="77777777" w:rsidR="00C24A2E" w:rsidRPr="00E13FF4" w:rsidRDefault="00C24A2E" w:rsidP="00C24A2E">
      <w:pPr>
        <w:rPr>
          <w:rFonts w:asciiTheme="majorHAnsi" w:hAnsiTheme="majorHAnsi" w:cstheme="majorHAnsi"/>
          <w:lang w:val="pl-PL"/>
        </w:rPr>
      </w:pPr>
      <w:r w:rsidRPr="00E13FF4">
        <w:rPr>
          <w:rFonts w:asciiTheme="majorHAnsi" w:hAnsiTheme="majorHAnsi" w:cstheme="majorHAnsi"/>
          <w:lang w:val="pl-PL"/>
        </w:rPr>
        <w:t>introduzione</w:t>
      </w:r>
    </w:p>
    <w:p w14:paraId="53AF22DB" w14:textId="77777777" w:rsidR="00C24A2E" w:rsidRPr="00E13FF4" w:rsidRDefault="00C24A2E" w:rsidP="00C24A2E">
      <w:pPr>
        <w:rPr>
          <w:rFonts w:asciiTheme="majorHAnsi" w:hAnsiTheme="majorHAnsi" w:cstheme="majorHAnsi"/>
          <w:lang w:val="pl-PL"/>
        </w:rPr>
      </w:pPr>
    </w:p>
    <w:p w14:paraId="00D91F54" w14:textId="77777777" w:rsidR="00165BCE" w:rsidRPr="00E13FF4" w:rsidRDefault="00C24A2E" w:rsidP="00C24A2E">
      <w:pPr>
        <w:rPr>
          <w:rFonts w:asciiTheme="majorHAnsi" w:hAnsiTheme="majorHAnsi" w:cstheme="majorHAnsi"/>
          <w:lang w:val="pl-PL"/>
        </w:rPr>
      </w:pPr>
      <w:r w:rsidRPr="00E13FF4">
        <w:rPr>
          <w:rFonts w:asciiTheme="majorHAnsi" w:hAnsiTheme="majorHAnsi" w:cstheme="majorHAnsi"/>
          <w:lang w:val="pl-PL"/>
        </w:rPr>
        <w:t>I lavori verdi sono associati all'implementazione dei processi di produzione e al cambiamento dell'efficienza di prodotti e servizi in un modo che ha un impatto positivo sull'ambiente.</w:t>
      </w:r>
    </w:p>
    <w:p w14:paraId="24937EFB"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noProof/>
          <w:lang w:eastAsia="en-GB"/>
        </w:rPr>
        <w:drawing>
          <wp:anchor distT="0" distB="0" distL="114300" distR="114300" simplePos="0" relativeHeight="251800576" behindDoc="0" locked="0" layoutInCell="1" allowOverlap="1" wp14:anchorId="6D5C4B04" wp14:editId="08B6D18A">
            <wp:simplePos x="0" y="0"/>
            <wp:positionH relativeFrom="page">
              <wp:posOffset>3872119</wp:posOffset>
            </wp:positionH>
            <wp:positionV relativeFrom="paragraph">
              <wp:posOffset>8862</wp:posOffset>
            </wp:positionV>
            <wp:extent cx="3808674" cy="2112120"/>
            <wp:effectExtent l="0" t="0" r="1905" b="2540"/>
            <wp:wrapNone/>
            <wp:docPr id="5" name="Chart 74">
              <a:extLst xmlns:a="http://schemas.openxmlformats.org/drawingml/2006/main">
                <a:ext uri="{FF2B5EF4-FFF2-40B4-BE49-F238E27FC236}">
                  <a16:creationId xmlns:a16="http://schemas.microsoft.com/office/drawing/2014/main" id="{0AFCA49A-14EF-4865-BC22-6BB432F39C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p>
    <w:p w14:paraId="497B3621"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I lavori verdi in più rapida crescita:</w:t>
      </w:r>
    </w:p>
    <w:p w14:paraId="16D87841"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1) Coltivatore cittadino</w:t>
      </w:r>
    </w:p>
    <w:p w14:paraId="098A12C2"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2) Ingegneri di auto elettriche</w:t>
      </w:r>
    </w:p>
    <w:p w14:paraId="10FE5859"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3) Tecnici per la qualità dell'acqua</w:t>
      </w:r>
    </w:p>
    <w:p w14:paraId="089006D5"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4) Naturalisti</w:t>
      </w:r>
    </w:p>
    <w:p w14:paraId="1862CB35"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5) Costruttori verdi</w:t>
      </w:r>
    </w:p>
    <w:p w14:paraId="211A8214"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noProof/>
          <w:lang w:eastAsia="en-GB"/>
        </w:rPr>
        <mc:AlternateContent>
          <mc:Choice Requires="wps">
            <w:drawing>
              <wp:anchor distT="0" distB="0" distL="114300" distR="114300" simplePos="0" relativeHeight="251808768" behindDoc="0" locked="0" layoutInCell="1" allowOverlap="1" wp14:anchorId="689162FD" wp14:editId="2C8F652B">
                <wp:simplePos x="0" y="0"/>
                <wp:positionH relativeFrom="column">
                  <wp:posOffset>3029806</wp:posOffset>
                </wp:positionH>
                <wp:positionV relativeFrom="paragraph">
                  <wp:posOffset>9221</wp:posOffset>
                </wp:positionV>
                <wp:extent cx="3342005" cy="635"/>
                <wp:effectExtent l="0" t="0" r="0" b="0"/>
                <wp:wrapNone/>
                <wp:docPr id="12" name="Text Box 6"/>
                <wp:cNvGraphicFramePr/>
                <a:graphic xmlns:a="http://schemas.openxmlformats.org/drawingml/2006/main">
                  <a:graphicData uri="http://schemas.microsoft.com/office/word/2010/wordprocessingShape">
                    <wps:wsp>
                      <wps:cNvSpPr txBox="1"/>
                      <wps:spPr>
                        <a:xfrm>
                          <a:off x="0" y="0"/>
                          <a:ext cx="3342005" cy="635"/>
                        </a:xfrm>
                        <a:prstGeom prst="rect">
                          <a:avLst/>
                        </a:prstGeom>
                        <a:solidFill>
                          <a:prstClr val="white"/>
                        </a:solidFill>
                        <a:ln>
                          <a:noFill/>
                        </a:ln>
                      </wps:spPr>
                      <wps:txbx>
                        <w:txbxContent>
                          <w:p w14:paraId="5E9CFAB8" w14:textId="03B5900A" w:rsidR="00165BCE" w:rsidRDefault="00165BCE" w:rsidP="00165BCE">
                            <w:pPr>
                              <w:pStyle w:val="Legenda"/>
                              <w:spacing w:after="0"/>
                            </w:pPr>
                            <w:r>
                              <w:t xml:space="preserve">figura </w:t>
                            </w:r>
                            <w:r>
                              <w:fldChar w:fldCharType="begin"/>
                            </w:r>
                            <w:r>
                              <w:instrText xml:space="preserve"> SEQ Figure \* ARABIC </w:instrText>
                            </w:r>
                            <w:r>
                              <w:fldChar w:fldCharType="separate"/>
                            </w:r>
                            <w:r w:rsidR="00CD56D8">
                              <w:rPr>
                                <w:noProof/>
                              </w:rPr>
                              <w:t>1</w:t>
                            </w:r>
                            <w:r>
                              <w:fldChar w:fldCharType="end"/>
                            </w:r>
                            <w:r>
                              <w:t>. Green economy per settore</w:t>
                            </w:r>
                          </w:p>
                          <w:p w14:paraId="474B565C" w14:textId="77777777" w:rsidR="00165BCE" w:rsidRPr="000D372E" w:rsidRDefault="00165BCE" w:rsidP="00165BCE">
                            <w:pPr>
                              <w:spacing w:after="0"/>
                              <w:rPr>
                                <w:i/>
                                <w:iCs/>
                                <w:color w:val="44546A" w:themeColor="text2"/>
                                <w:sz w:val="18"/>
                                <w:szCs w:val="18"/>
                              </w:rPr>
                            </w:pPr>
                            <w:r w:rsidRPr="000D372E">
                              <w:rPr>
                                <w:i/>
                                <w:iCs/>
                                <w:color w:val="44546A" w:themeColor="text2"/>
                                <w:sz w:val="18"/>
                                <w:szCs w:val="18"/>
                              </w:rPr>
                              <w:t>Fonte: FTSE Russell, dati a dicembre 2017</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89162FD" id="_x0000_t202" coordsize="21600,21600" o:spt="202" path="m,l,21600r21600,l21600,xe">
                <v:stroke joinstyle="miter"/>
                <v:path gradientshapeok="t" o:connecttype="rect"/>
              </v:shapetype>
              <v:shape id="Text Box 6" o:spid="_x0000_s1026" type="#_x0000_t202" style="position:absolute;margin-left:238.55pt;margin-top:.75pt;width:263.15pt;height:.05pt;z-index:251808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" stroked="f">
                <v:textbox style="mso-fit-shape-to-text:t" inset="0,0,0,0">
                  <w:txbxContent>
                    <w:p w14:paraId="5E9CFAB8" w14:textId="03B5900A" w:rsidR="00165BCE" w:rsidRDefault="00165BCE" w:rsidP="00165BCE">
                      <w:pPr>
                        <w:pStyle w:val="Legenda"/>
                        <w:spacing w:after="0"/>
                      </w:pPr>
                      <w:r>
                        <w:t xml:space="preserve">figura </w:t>
                      </w:r>
                      <w:r>
                        <w:fldChar w:fldCharType="begin"/>
                      </w:r>
                      <w:r>
                        <w:instrText xml:space="preserve"> SEQ Figure \* ARABIC </w:instrText>
                      </w:r>
                      <w:r>
                        <w:fldChar w:fldCharType="separate"/>
                      </w:r>
                      <w:r w:rsidR="00CD56D8">
                        <w:rPr>
                          <w:noProof/>
                        </w:rPr>
                        <w:t>1</w:t>
                      </w:r>
                      <w:r>
                        <w:fldChar w:fldCharType="end"/>
                      </w:r>
                      <w:r>
                        <w:t>. Green economy per settore</w:t>
                      </w:r>
                    </w:p>
                    <w:p w14:paraId="474B565C" w14:textId="77777777" w:rsidR="00165BCE" w:rsidRPr="000D372E" w:rsidRDefault="00165BCE" w:rsidP="00165BCE">
                      <w:pPr>
                        <w:spacing w:after="0"/>
                        <w:rPr>
                          <w:i/>
                          <w:iCs/>
                          <w:color w:val="44546A" w:themeColor="text2"/>
                          <w:sz w:val="18"/>
                          <w:szCs w:val="18"/>
                        </w:rPr>
                      </w:pPr>
                      <w:r w:rsidRPr="000D372E">
                        <w:rPr>
                          <w:i/>
                          <w:iCs/>
                          <w:color w:val="44546A" w:themeColor="text2"/>
                          <w:sz w:val="18"/>
                          <w:szCs w:val="18"/>
                        </w:rPr>
                        <w:t>Fonte: FTSE Russell, dati a dicembre 2017</w:t>
                      </w:r>
                    </w:p>
                  </w:txbxContent>
                </v:textbox>
              </v:shape>
            </w:pict>
          </mc:Fallback>
        </mc:AlternateContent>
      </w:r>
      <w:r w:rsidRPr="00E13FF4">
        <w:rPr>
          <w:rFonts w:asciiTheme="majorHAnsi" w:hAnsiTheme="majorHAnsi" w:cstheme="majorHAnsi"/>
          <w:lang w:val="pl-PL"/>
        </w:rPr>
        <w:t>6) Eco-educatori</w:t>
      </w:r>
    </w:p>
    <w:p w14:paraId="7A7D8E90" w14:textId="77777777" w:rsidR="00E13FF4" w:rsidRPr="00E13FF4" w:rsidRDefault="00165BCE" w:rsidP="00165BCE">
      <w:pPr>
        <w:rPr>
          <w:rFonts w:asciiTheme="majorHAnsi" w:hAnsiTheme="majorHAnsi" w:cstheme="majorHAnsi"/>
          <w:lang w:val="pl-PL"/>
        </w:rPr>
      </w:pPr>
      <w:r w:rsidRPr="00E13FF4">
        <w:rPr>
          <w:rFonts w:asciiTheme="majorHAnsi" w:hAnsiTheme="majorHAnsi" w:cstheme="majorHAnsi"/>
          <w:lang w:val="pl-PL"/>
        </w:rPr>
        <w:t>7) Specialisti del design verde</w:t>
      </w:r>
    </w:p>
    <w:p w14:paraId="68216690" w14:textId="77777777" w:rsidR="00E13FF4" w:rsidRPr="00E13FF4" w:rsidRDefault="00E13FF4" w:rsidP="00165BCE">
      <w:pPr>
        <w:rPr>
          <w:rFonts w:asciiTheme="majorHAnsi" w:hAnsiTheme="majorHAnsi" w:cstheme="majorHAnsi"/>
          <w:lang w:val="pl-PL"/>
        </w:rPr>
      </w:pPr>
    </w:p>
    <w:p w14:paraId="54186F6A" w14:textId="3DD32439"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SLIDE 4</w:t>
      </w:r>
    </w:p>
    <w:p w14:paraId="4877285F"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introduzione</w:t>
      </w:r>
    </w:p>
    <w:p w14:paraId="1E54AFD0"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Dopo aver completato questo corso, il candidato / studente dovrebbe acquisire una conoscenza generale della green economy e delle opportunità che offre sia alle imprese che alla società nel suo insieme. Questo modulo include 4 lezioni:</w:t>
      </w:r>
    </w:p>
    <w:p w14:paraId="31E9763C"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 LO1: Energie rinnovabili - cenni generali</w:t>
      </w:r>
    </w:p>
    <w:p w14:paraId="6469B40F"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 LO2: uso efficiente delle risorse</w:t>
      </w:r>
    </w:p>
    <w:p w14:paraId="462DA29A"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 LO3: obiettivi di sviluppo sostenibile</w:t>
      </w:r>
    </w:p>
    <w:p w14:paraId="5FC3D126"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 LO4: approccio ecologico negli affari</w:t>
      </w:r>
    </w:p>
    <w:p w14:paraId="763B8B86" w14:textId="77777777" w:rsidR="00165BCE" w:rsidRPr="00E13FF4" w:rsidRDefault="00165BCE" w:rsidP="00165BCE">
      <w:pPr>
        <w:rPr>
          <w:rFonts w:asciiTheme="majorHAnsi" w:hAnsiTheme="majorHAnsi" w:cstheme="majorHAnsi"/>
          <w:lang w:val="pl-PL"/>
        </w:rPr>
      </w:pPr>
    </w:p>
    <w:p w14:paraId="65648305"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LO1: Energie rinnovabili - cenni generali</w:t>
      </w:r>
    </w:p>
    <w:p w14:paraId="5C035405"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DIAPOSITIVE 1</w:t>
      </w:r>
    </w:p>
    <w:p w14:paraId="06BB31AA"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Introduzione alle energie rinnovabili</w:t>
      </w:r>
    </w:p>
    <w:p w14:paraId="566D052C"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Dal 2010, la quota di consumo e produzione di energia rinnovabile è aumentata di 0,7 punti percentuali, secondo il rapporto SDG Energy Indicator. Nel 2017, l'energia rinnovabile ha rappresentato oltre il 24% del consumo energetico totale in tutto il mondo. L'Asia è di gran lunga la regione leader con quasi il 40% di quota.</w:t>
      </w:r>
    </w:p>
    <w:p w14:paraId="2F6C4E97" w14:textId="77777777" w:rsidR="00165BCE" w:rsidRPr="00E13FF4" w:rsidRDefault="00165BCE" w:rsidP="00165BCE">
      <w:pPr>
        <w:rPr>
          <w:rFonts w:asciiTheme="majorHAnsi" w:hAnsiTheme="majorHAnsi" w:cstheme="majorHAnsi"/>
          <w:lang w:val="pl-PL"/>
        </w:rPr>
      </w:pPr>
    </w:p>
    <w:p w14:paraId="690FB605"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Ci sono diversi fattori che determinano come e dove vengono generati i posti di lavoro nel settore delle energie rinnovabili. I più comuni sono:</w:t>
      </w:r>
    </w:p>
    <w:p w14:paraId="1AC6BC61"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 Politica del governo</w:t>
      </w:r>
    </w:p>
    <w:p w14:paraId="5535918E" w14:textId="77777777"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 Modelli commerciali</w:t>
      </w:r>
    </w:p>
    <w:p w14:paraId="031DD6E5" w14:textId="02B5EB73"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 Riorganizzazione del settore</w:t>
      </w:r>
    </w:p>
    <w:p w14:paraId="2AC9CEA8" w14:textId="65B644F8" w:rsidR="00165BCE" w:rsidRPr="00E13FF4" w:rsidRDefault="00165BCE" w:rsidP="00165BCE">
      <w:pPr>
        <w:rPr>
          <w:rFonts w:asciiTheme="majorHAnsi" w:hAnsiTheme="majorHAnsi" w:cstheme="majorHAnsi"/>
          <w:lang w:val="pl-PL"/>
        </w:rPr>
      </w:pPr>
      <w:r w:rsidRPr="00E13FF4">
        <w:rPr>
          <w:rFonts w:asciiTheme="majorHAnsi" w:hAnsiTheme="majorHAnsi" w:cstheme="majorHAnsi"/>
          <w:lang w:val="pl-PL"/>
        </w:rPr>
        <w:t>• Tendenze di consolidamento</w:t>
      </w:r>
    </w:p>
    <w:p w14:paraId="1B09D71B" w14:textId="38A4A1AA" w:rsidR="006B4948" w:rsidRPr="00E13FF4" w:rsidRDefault="00E13FF4" w:rsidP="00165BCE">
      <w:pPr>
        <w:rPr>
          <w:rFonts w:asciiTheme="majorHAnsi" w:hAnsiTheme="majorHAnsi" w:cstheme="majorHAnsi"/>
          <w:lang w:val="pl-PL"/>
        </w:rPr>
      </w:pPr>
      <w:r w:rsidRPr="00E13FF4">
        <w:rPr>
          <w:rFonts w:asciiTheme="majorHAnsi" w:hAnsiTheme="majorHAnsi" w:cstheme="majorHAnsi"/>
          <w:noProof/>
          <w:lang w:eastAsia="en-GB"/>
        </w:rPr>
        <mc:AlternateContent>
          <mc:Choice Requires="wps">
            <w:drawing>
              <wp:anchor distT="0" distB="0" distL="114300" distR="114300" simplePos="0" relativeHeight="251804672" behindDoc="0" locked="0" layoutInCell="1" allowOverlap="1" wp14:anchorId="1428F39F" wp14:editId="1FF423A8">
                <wp:simplePos x="0" y="0"/>
                <wp:positionH relativeFrom="margin">
                  <wp:posOffset>367367</wp:posOffset>
                </wp:positionH>
                <wp:positionV relativeFrom="bottomMargin">
                  <wp:posOffset>-4455268</wp:posOffset>
                </wp:positionV>
                <wp:extent cx="3801110" cy="290195"/>
                <wp:effectExtent l="0" t="0" r="8890" b="0"/>
                <wp:wrapNone/>
                <wp:docPr id="9" name="Text Box 8"/>
                <wp:cNvGraphicFramePr/>
                <a:graphic xmlns:a="http://schemas.openxmlformats.org/drawingml/2006/main">
                  <a:graphicData uri="http://schemas.microsoft.com/office/word/2010/wordprocessingShape">
                    <wps:wsp>
                      <wps:cNvSpPr txBox="1"/>
                      <wps:spPr>
                        <a:xfrm>
                          <a:off x="0" y="0"/>
                          <a:ext cx="3801110" cy="290195"/>
                        </a:xfrm>
                        <a:prstGeom prst="rect">
                          <a:avLst/>
                        </a:prstGeom>
                        <a:solidFill>
                          <a:prstClr val="white"/>
                        </a:solidFill>
                        <a:ln>
                          <a:noFill/>
                        </a:ln>
                      </wps:spPr>
                      <wps:txbx>
                        <w:txbxContent>
                          <w:p w14:paraId="2BABACBA" w14:textId="771FCB96" w:rsidR="00165BCE" w:rsidRDefault="00165BCE" w:rsidP="00165BCE">
                            <w:pPr>
                              <w:pStyle w:val="Legenda"/>
                              <w:spacing w:after="0"/>
                            </w:pPr>
                            <w:r>
                              <w:t xml:space="preserve">figura </w:t>
                            </w:r>
                            <w:r>
                              <w:fldChar w:fldCharType="begin"/>
                            </w:r>
                            <w:r>
                              <w:instrText xml:space="preserve"> SEQ Figure \* ARABIC </w:instrText>
                            </w:r>
                            <w:r>
                              <w:fldChar w:fldCharType="separate"/>
                            </w:r>
                            <w:r w:rsidR="00CD56D8">
                              <w:rPr>
                                <w:noProof/>
                              </w:rPr>
                              <w:t>2</w:t>
                            </w:r>
                            <w:r>
                              <w:fldChar w:fldCharType="end"/>
                            </w:r>
                            <w:r>
                              <w:t>. Occupazione nel settore delle energie rinnovabili</w:t>
                            </w:r>
                          </w:p>
                          <w:p w14:paraId="740E2D17" w14:textId="77777777" w:rsidR="00165BCE" w:rsidRPr="000D372E" w:rsidRDefault="00165BCE" w:rsidP="00165BCE">
                            <w:pPr>
                              <w:spacing w:after="0"/>
                              <w:rPr>
                                <w:i/>
                                <w:iCs/>
                                <w:color w:val="44546A" w:themeColor="text2"/>
                                <w:sz w:val="18"/>
                                <w:szCs w:val="18"/>
                              </w:rPr>
                            </w:pPr>
                            <w:r w:rsidRPr="000D372E">
                              <w:rPr>
                                <w:i/>
                                <w:iCs/>
                                <w:color w:val="44546A" w:themeColor="text2"/>
                                <w:sz w:val="18"/>
                                <w:szCs w:val="18"/>
                              </w:rPr>
                              <w:t xml:space="preserve">Fonte: database dei lavori IRENA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428F39F" id="Text Box 8" o:spid="_x0000_s1027" type="#_x0000_t202" style="position:absolute;margin-left:28.95pt;margin-top:-350.8pt;width:299.3pt;height:22.85pt;z-index:251804672;visibility:visible;mso-wrap-style:square;mso-wrap-distance-left:9pt;mso-wrap-distance-top:0;mso-wrap-distance-right:9pt;mso-wrap-distance-bottom:0;mso-position-horizontal:absolute;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" stroked="f">
                <v:textbox style="mso-fit-shape-to-text:t" inset="0,0,0,0">
                  <w:txbxContent>
                    <w:p w14:paraId="2BABACBA" w14:textId="771FCB96" w:rsidR="00165BCE" w:rsidRDefault="00165BCE" w:rsidP="00165BCE">
                      <w:pPr>
                        <w:pStyle w:val="Legenda"/>
                        <w:spacing w:after="0"/>
                      </w:pPr>
                      <w:r>
                        <w:t xml:space="preserve">figura </w:t>
                      </w:r>
                      <w:r>
                        <w:fldChar w:fldCharType="begin"/>
                      </w:r>
                      <w:r>
                        <w:instrText xml:space="preserve"> SEQ Figure \* ARABIC </w:instrText>
                      </w:r>
                      <w:r>
                        <w:fldChar w:fldCharType="separate"/>
                      </w:r>
                      <w:r w:rsidR="00CD56D8">
                        <w:rPr>
                          <w:noProof/>
                        </w:rPr>
                        <w:t>2</w:t>
                      </w:r>
                      <w:r>
                        <w:fldChar w:fldCharType="end"/>
                      </w:r>
                      <w:r>
                        <w:t>. Occupazione nel settore delle energie rinnovabili</w:t>
                      </w:r>
                    </w:p>
                    <w:p w14:paraId="740E2D17" w14:textId="77777777" w:rsidR="00165BCE" w:rsidRPr="000D372E" w:rsidRDefault="00165BCE" w:rsidP="00165BCE">
                      <w:pPr>
                        <w:spacing w:after="0"/>
                        <w:rPr>
                          <w:i/>
                          <w:iCs/>
                          <w:color w:val="44546A" w:themeColor="text2"/>
                          <w:sz w:val="18"/>
                          <w:szCs w:val="18"/>
                        </w:rPr>
                      </w:pPr>
                      <w:r w:rsidRPr="000D372E">
                        <w:rPr>
                          <w:i/>
                          <w:iCs/>
                          <w:color w:val="44546A" w:themeColor="text2"/>
                          <w:sz w:val="18"/>
                          <w:szCs w:val="18"/>
                        </w:rPr>
                        <w:t xml:space="preserve">Fonte: database dei lavori IRENA </w:t>
                      </w:r>
                    </w:p>
                  </w:txbxContent>
                </v:textbox>
                <w10:wrap anchorx="margin" anchory="margin"/>
              </v:shape>
            </w:pict>
          </mc:Fallback>
        </mc:AlternateContent>
      </w:r>
      <w:r w:rsidRPr="00E13FF4">
        <w:rPr>
          <w:rFonts w:asciiTheme="majorHAnsi" w:hAnsiTheme="majorHAnsi" w:cstheme="majorHAnsi"/>
          <w:noProof/>
          <w:lang w:eastAsia="en-GB"/>
        </w:rPr>
        <w:drawing>
          <wp:anchor distT="0" distB="0" distL="114300" distR="114300" simplePos="0" relativeHeight="251802624" behindDoc="0" locked="0" layoutInCell="1" allowOverlap="1" wp14:anchorId="41FB146D" wp14:editId="42137EFD">
            <wp:simplePos x="0" y="0"/>
            <wp:positionH relativeFrom="column">
              <wp:posOffset>1799212</wp:posOffset>
            </wp:positionH>
            <wp:positionV relativeFrom="paragraph">
              <wp:posOffset>-447959</wp:posOffset>
            </wp:positionV>
            <wp:extent cx="4572000" cy="2743200"/>
            <wp:effectExtent l="0" t="0" r="0" b="0"/>
            <wp:wrapThrough wrapText="bothSides">
              <wp:wrapPolygon edited="0">
                <wp:start x="0" y="0"/>
                <wp:lineTo x="0" y="21450"/>
                <wp:lineTo x="21510" y="21450"/>
                <wp:lineTo x="21510" y="0"/>
                <wp:lineTo x="0" y="0"/>
              </wp:wrapPolygon>
            </wp:wrapThrough>
            <wp:docPr id="7" name="Chart 67">
              <a:extLst xmlns:a="http://schemas.openxmlformats.org/drawingml/2006/main">
                <a:ext uri="{FF2B5EF4-FFF2-40B4-BE49-F238E27FC236}">
                  <a16:creationId xmlns:a16="http://schemas.microsoft.com/office/drawing/2014/main" id="{7A0420FF-4061-45DE-8F2A-7F65C8EB2EF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8E48CE" w:rsidRPr="00E13FF4">
        <w:rPr>
          <w:rFonts w:asciiTheme="majorHAnsi" w:hAnsiTheme="majorHAnsi" w:cstheme="majorHAnsi"/>
          <w:lang w:val="pl-PL"/>
        </w:rPr>
        <w:br w:type="page"/>
      </w:r>
    </w:p>
    <w:p w14:paraId="638DE9A5" w14:textId="77777777" w:rsidR="00165BCE" w:rsidRPr="00E13FF4" w:rsidRDefault="00165BCE" w:rsidP="00165BCE">
      <w:pPr>
        <w:rPr>
          <w:rFonts w:asciiTheme="majorHAnsi" w:hAnsiTheme="majorHAnsi" w:cstheme="majorHAnsi"/>
          <w:sz w:val="20"/>
          <w:lang w:val="pl-PL"/>
        </w:rPr>
      </w:pPr>
    </w:p>
    <w:p w14:paraId="564939AE" w14:textId="77777777" w:rsidR="00165BCE" w:rsidRPr="00E13FF4" w:rsidRDefault="00165BCE" w:rsidP="00165BCE">
      <w:pPr>
        <w:rPr>
          <w:rFonts w:asciiTheme="majorHAnsi" w:hAnsiTheme="majorHAnsi" w:cstheme="majorHAnsi"/>
          <w:sz w:val="20"/>
          <w:lang w:val="pl-PL"/>
        </w:rPr>
      </w:pPr>
      <w:r w:rsidRPr="00E13FF4">
        <w:rPr>
          <w:rFonts w:asciiTheme="majorHAnsi" w:hAnsiTheme="majorHAnsi" w:cstheme="majorHAnsi"/>
          <w:sz w:val="20"/>
          <w:lang w:val="pl-PL"/>
        </w:rPr>
        <w:t>SLIDE 2</w:t>
      </w:r>
    </w:p>
    <w:p w14:paraId="5236A0C7" w14:textId="77777777" w:rsidR="00165BCE" w:rsidRPr="00E13FF4" w:rsidRDefault="00165BCE" w:rsidP="00165BCE">
      <w:pPr>
        <w:rPr>
          <w:rFonts w:asciiTheme="majorHAnsi" w:hAnsiTheme="majorHAnsi" w:cstheme="majorHAnsi"/>
          <w:sz w:val="20"/>
          <w:lang w:val="pl-PL"/>
        </w:rPr>
      </w:pPr>
      <w:r w:rsidRPr="00E13FF4">
        <w:rPr>
          <w:rFonts w:asciiTheme="majorHAnsi" w:hAnsiTheme="majorHAnsi" w:cstheme="majorHAnsi"/>
          <w:sz w:val="20"/>
          <w:lang w:val="pl-PL"/>
        </w:rPr>
        <w:t xml:space="preserve">Energia dell'acqua </w:t>
      </w:r>
    </w:p>
    <w:p w14:paraId="14C2C099" w14:textId="77777777" w:rsidR="00165BCE" w:rsidRPr="00E13FF4" w:rsidRDefault="00165BCE" w:rsidP="00165BCE">
      <w:pPr>
        <w:rPr>
          <w:rFonts w:asciiTheme="majorHAnsi" w:hAnsiTheme="majorHAnsi" w:cstheme="majorHAnsi"/>
          <w:sz w:val="20"/>
          <w:lang w:val="pl-PL"/>
        </w:rPr>
      </w:pPr>
      <w:r w:rsidRPr="00E13FF4">
        <w:rPr>
          <w:rFonts w:asciiTheme="majorHAnsi" w:hAnsiTheme="majorHAnsi" w:cstheme="majorHAnsi"/>
          <w:sz w:val="20"/>
          <w:lang w:val="pl-PL"/>
        </w:rPr>
        <w:t>Gli inizi dell'uso dell'energia idroelettrica risalgono alla Mesopotamia e all'antico Egitto, dove l'irrigazione era utilizzata dal VI millennio a.C. L'energia idroelettrica proviene dalla potenza o energia dell'acqua in movimento.</w:t>
      </w:r>
      <w:r w:rsidR="00C04088" w:rsidRPr="00E13FF4">
        <w:rPr>
          <w:rStyle w:val="Odwoanieprzypisudolnego"/>
          <w:rFonts w:asciiTheme="majorHAnsi" w:hAnsiTheme="majorHAnsi" w:cstheme="majorHAnsi"/>
          <w:sz w:val="20"/>
        </w:rPr>
        <w:footnoteReference w:id="1"/>
      </w:r>
    </w:p>
    <w:p w14:paraId="0E6359F1" w14:textId="77777777" w:rsidR="00165BCE" w:rsidRPr="00E13FF4" w:rsidRDefault="00165BCE" w:rsidP="00165BCE">
      <w:pPr>
        <w:rPr>
          <w:rFonts w:asciiTheme="majorHAnsi" w:hAnsiTheme="majorHAnsi" w:cstheme="majorHAnsi"/>
          <w:sz w:val="20"/>
          <w:lang w:val="pl-PL"/>
        </w:rPr>
      </w:pPr>
      <w:r w:rsidRPr="00E13FF4">
        <w:rPr>
          <w:rFonts w:asciiTheme="majorHAnsi" w:hAnsiTheme="majorHAnsi" w:cstheme="majorHAnsi"/>
          <w:sz w:val="20"/>
          <w:lang w:val="pl-PL"/>
        </w:rPr>
        <w:t>Tipi di generazione di energia idroelettrica:</w:t>
      </w:r>
      <w:r w:rsidR="00C04088" w:rsidRPr="00E13FF4">
        <w:rPr>
          <w:rStyle w:val="Odwoanieprzypisudolnego"/>
          <w:rFonts w:asciiTheme="majorHAnsi" w:hAnsiTheme="majorHAnsi" w:cstheme="majorHAnsi"/>
          <w:sz w:val="20"/>
        </w:rPr>
        <w:footnoteReference w:id="2"/>
      </w:r>
      <w:r w:rsidR="00C04088" w:rsidRPr="00E13FF4">
        <w:rPr>
          <w:rFonts w:asciiTheme="majorHAnsi" w:hAnsiTheme="majorHAnsi" w:cstheme="majorHAnsi"/>
          <w:sz w:val="20"/>
          <w:lang w:val="pl-PL"/>
        </w:rPr>
        <w:t>:</w:t>
      </w:r>
    </w:p>
    <w:p w14:paraId="147E3A69" w14:textId="77777777" w:rsidR="00165BCE" w:rsidRPr="00E13FF4" w:rsidRDefault="00165BCE" w:rsidP="00165BCE">
      <w:pPr>
        <w:rPr>
          <w:rFonts w:asciiTheme="majorHAnsi" w:hAnsiTheme="majorHAnsi" w:cstheme="majorHAnsi"/>
          <w:sz w:val="20"/>
          <w:lang w:val="pl-PL"/>
        </w:rPr>
      </w:pPr>
      <w:r w:rsidRPr="00E13FF4">
        <w:rPr>
          <w:rFonts w:asciiTheme="majorHAnsi" w:hAnsiTheme="majorHAnsi" w:cstheme="majorHAnsi"/>
          <w:sz w:val="20"/>
          <w:lang w:val="pl-PL"/>
        </w:rPr>
        <w:t>• Idroelettrico convenzionale, relativo alle dighe idroelettriche</w:t>
      </w:r>
    </w:p>
    <w:p w14:paraId="4993890A" w14:textId="77777777" w:rsidR="00165BCE" w:rsidRPr="00E13FF4" w:rsidRDefault="00165BCE" w:rsidP="00165BCE">
      <w:pPr>
        <w:rPr>
          <w:rFonts w:asciiTheme="majorHAnsi" w:hAnsiTheme="majorHAnsi" w:cstheme="majorHAnsi"/>
          <w:sz w:val="20"/>
          <w:lang w:val="pl-PL"/>
        </w:rPr>
      </w:pPr>
      <w:r w:rsidRPr="00E13FF4">
        <w:rPr>
          <w:rFonts w:asciiTheme="majorHAnsi" w:hAnsiTheme="majorHAnsi" w:cstheme="majorHAnsi"/>
          <w:sz w:val="20"/>
          <w:lang w:val="pl-PL"/>
        </w:rPr>
        <w:t>• Elettricità a flusso idrico, dove l'energia cinetica viene catturata in fiumi o torrenti, senza l'uso di dighe.</w:t>
      </w:r>
    </w:p>
    <w:p w14:paraId="3BFD15A2" w14:textId="77777777" w:rsidR="00165BCE" w:rsidRPr="00E13FF4" w:rsidRDefault="00165BCE" w:rsidP="00165BCE">
      <w:pPr>
        <w:rPr>
          <w:rFonts w:asciiTheme="majorHAnsi" w:hAnsiTheme="majorHAnsi" w:cstheme="majorHAnsi"/>
          <w:sz w:val="20"/>
          <w:lang w:val="pl-PL"/>
        </w:rPr>
      </w:pPr>
      <w:r w:rsidRPr="00E13FF4">
        <w:rPr>
          <w:rFonts w:asciiTheme="majorHAnsi" w:hAnsiTheme="majorHAnsi" w:cstheme="majorHAnsi"/>
          <w:sz w:val="20"/>
          <w:lang w:val="pl-PL"/>
        </w:rPr>
        <w:t>• Idroelettricità pompa-accumulo, per pompare acqua e utilizzarla su richiesta.</w:t>
      </w:r>
    </w:p>
    <w:p w14:paraId="7733A8E3" w14:textId="77777777" w:rsidR="00165BCE" w:rsidRPr="00E13FF4" w:rsidRDefault="00165BCE" w:rsidP="00165BCE">
      <w:pPr>
        <w:rPr>
          <w:rFonts w:asciiTheme="majorHAnsi" w:hAnsiTheme="majorHAnsi" w:cstheme="majorHAnsi"/>
          <w:sz w:val="20"/>
          <w:lang w:val="pl-PL"/>
        </w:rPr>
      </w:pPr>
      <w:r w:rsidRPr="00E13FF4">
        <w:rPr>
          <w:rFonts w:asciiTheme="majorHAnsi" w:hAnsiTheme="majorHAnsi" w:cstheme="majorHAnsi"/>
          <w:sz w:val="20"/>
          <w:lang w:val="pl-PL"/>
        </w:rPr>
        <w:t>• Energia delle maree, cattura l'energia delle maree in direzione orizzontale.</w:t>
      </w:r>
    </w:p>
    <w:p w14:paraId="13E2FFC8" w14:textId="77777777" w:rsidR="00F737B6" w:rsidRPr="00E13FF4" w:rsidRDefault="00F737B6" w:rsidP="006B4948">
      <w:pPr>
        <w:spacing w:after="0"/>
        <w:rPr>
          <w:rFonts w:asciiTheme="majorHAnsi" w:hAnsiTheme="majorHAnsi" w:cstheme="majorHAnsi"/>
          <w:sz w:val="20"/>
          <w:lang w:val="pl-PL"/>
        </w:rPr>
      </w:pPr>
    </w:p>
    <w:p w14:paraId="067B641E" w14:textId="77777777" w:rsidR="00A85418" w:rsidRPr="00E13FF4" w:rsidRDefault="00A85418" w:rsidP="00A85418">
      <w:pPr>
        <w:spacing w:after="0"/>
        <w:rPr>
          <w:rFonts w:asciiTheme="majorHAnsi" w:hAnsiTheme="majorHAnsi" w:cstheme="majorHAnsi"/>
          <w:lang w:val="pl-PL"/>
        </w:rPr>
      </w:pPr>
    </w:p>
    <w:p w14:paraId="46BC78D0" w14:textId="77777777" w:rsidR="00A85418" w:rsidRPr="00E13FF4" w:rsidRDefault="00A85418" w:rsidP="00A85418">
      <w:pPr>
        <w:spacing w:after="0"/>
        <w:rPr>
          <w:rFonts w:asciiTheme="majorHAnsi" w:hAnsiTheme="majorHAnsi" w:cstheme="majorHAnsi"/>
          <w:lang w:val="pl-PL"/>
        </w:rPr>
      </w:pPr>
      <w:r w:rsidRPr="00E13FF4">
        <w:rPr>
          <w:rFonts w:asciiTheme="majorHAnsi" w:hAnsiTheme="majorHAnsi" w:cstheme="majorHAnsi"/>
          <w:lang w:val="pl-PL"/>
        </w:rPr>
        <w:t>SLIDE 3</w:t>
      </w:r>
    </w:p>
    <w:p w14:paraId="477399F4" w14:textId="77777777" w:rsidR="000D372E" w:rsidRPr="00E13FF4" w:rsidRDefault="00A85418" w:rsidP="00A85418">
      <w:pPr>
        <w:spacing w:after="0"/>
        <w:rPr>
          <w:rFonts w:asciiTheme="majorHAnsi" w:hAnsiTheme="majorHAnsi" w:cstheme="majorHAnsi"/>
          <w:lang w:val="pl-PL"/>
        </w:rPr>
      </w:pPr>
      <w:r w:rsidRPr="00E13FF4">
        <w:rPr>
          <w:rFonts w:asciiTheme="majorHAnsi" w:hAnsiTheme="majorHAnsi" w:cstheme="majorHAnsi"/>
          <w:lang w:val="pl-PL"/>
        </w:rPr>
        <w:t>Energia idroelettrica - occupazione e produzione</w:t>
      </w:r>
    </w:p>
    <w:p w14:paraId="38E6100A" w14:textId="77777777" w:rsidR="00A85418" w:rsidRPr="00E13FF4" w:rsidRDefault="00A85418" w:rsidP="00A85418">
      <w:pPr>
        <w:spacing w:before="240"/>
        <w:rPr>
          <w:rFonts w:asciiTheme="majorHAnsi" w:hAnsiTheme="majorHAnsi" w:cstheme="majorHAnsi"/>
          <w:sz w:val="20"/>
          <w:lang w:val="pl-PL"/>
        </w:rPr>
      </w:pPr>
    </w:p>
    <w:p w14:paraId="6D0226C6" w14:textId="77777777" w:rsidR="00A85418" w:rsidRPr="00E13FF4" w:rsidRDefault="00A85418" w:rsidP="00A85418">
      <w:pPr>
        <w:spacing w:before="240"/>
        <w:rPr>
          <w:rFonts w:asciiTheme="majorHAnsi" w:hAnsiTheme="majorHAnsi" w:cstheme="majorHAnsi"/>
          <w:sz w:val="20"/>
          <w:lang w:val="pl-PL"/>
        </w:rPr>
      </w:pPr>
      <w:r w:rsidRPr="00E13FF4">
        <w:rPr>
          <w:rFonts w:asciiTheme="majorHAnsi" w:hAnsiTheme="majorHAnsi" w:cstheme="majorHAnsi"/>
          <w:sz w:val="20"/>
          <w:lang w:val="pl-PL"/>
        </w:rPr>
        <w:t>L'energia idroelettrica è il tipo di energia rinnovabile più utilizzato con la più alta capacità installata. Nel 2017 rappresentava il 65% di tutte le energie rinnovabili nel mondo (vedi Figura 3). La sua quota diminuisce man mano che altri tipi di energia come i sistemi solari o eolici vengono installati più velocemente. Secondo il database IRENA, solo nel 2018 più di 2 milioni di persone erano impiegate direttamente nel settore idroelettrico in tutto il mondo e circa il 70% dei posti di lavoro erano in funzione e manutenzione.</w:t>
      </w:r>
    </w:p>
    <w:p w14:paraId="06965D4A" w14:textId="33048149" w:rsidR="00A85418" w:rsidRPr="00E13FF4" w:rsidRDefault="00E13FF4">
      <w:pPr>
        <w:rPr>
          <w:rFonts w:asciiTheme="majorHAnsi" w:hAnsiTheme="majorHAnsi" w:cstheme="majorHAnsi"/>
          <w:sz w:val="20"/>
          <w:lang w:val="pl-PL"/>
        </w:rPr>
      </w:pPr>
      <w:r w:rsidRPr="00E13FF4">
        <w:rPr>
          <w:rFonts w:asciiTheme="majorHAnsi" w:hAnsiTheme="majorHAnsi" w:cstheme="majorHAnsi"/>
          <w:noProof/>
          <w:lang w:eastAsia="en-GB"/>
        </w:rPr>
        <w:drawing>
          <wp:anchor distT="0" distB="0" distL="114300" distR="114300" simplePos="0" relativeHeight="251810816" behindDoc="0" locked="0" layoutInCell="1" allowOverlap="1" wp14:anchorId="2521F9FB" wp14:editId="565CB926">
            <wp:simplePos x="0" y="0"/>
            <wp:positionH relativeFrom="margin">
              <wp:posOffset>-134768</wp:posOffset>
            </wp:positionH>
            <wp:positionV relativeFrom="paragraph">
              <wp:posOffset>7850</wp:posOffset>
            </wp:positionV>
            <wp:extent cx="4302125" cy="2279650"/>
            <wp:effectExtent l="0" t="0" r="3175" b="6350"/>
            <wp:wrapNone/>
            <wp:docPr id="13" name="Chart 75">
              <a:extLst xmlns:a="http://schemas.openxmlformats.org/drawingml/2006/main">
                <a:ext uri="{FF2B5EF4-FFF2-40B4-BE49-F238E27FC236}">
                  <a16:creationId xmlns:a16="http://schemas.microsoft.com/office/drawing/2014/main" id="{B35D1862-ACBF-4AA0-810F-249EBC796D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00A85418" w:rsidRPr="00E13FF4">
        <w:rPr>
          <w:rFonts w:asciiTheme="majorHAnsi" w:hAnsiTheme="majorHAnsi" w:cstheme="majorHAnsi"/>
          <w:noProof/>
          <w:lang w:eastAsia="en-GB"/>
        </w:rPr>
        <w:drawing>
          <wp:anchor distT="0" distB="0" distL="114300" distR="114300" simplePos="0" relativeHeight="251811840" behindDoc="1" locked="0" layoutInCell="1" allowOverlap="1" wp14:anchorId="5EFAB67E" wp14:editId="1940685A">
            <wp:simplePos x="0" y="0"/>
            <wp:positionH relativeFrom="margin">
              <wp:posOffset>3346892</wp:posOffset>
            </wp:positionH>
            <wp:positionV relativeFrom="paragraph">
              <wp:posOffset>2302372</wp:posOffset>
            </wp:positionV>
            <wp:extent cx="2687320" cy="294005"/>
            <wp:effectExtent l="0" t="0" r="0" b="0"/>
            <wp:wrapNone/>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87320" cy="294005"/>
                    </a:xfrm>
                    <a:prstGeom prst="rect">
                      <a:avLst/>
                    </a:prstGeom>
                    <a:noFill/>
                    <a:ln>
                      <a:noFill/>
                    </a:ln>
                  </pic:spPr>
                </pic:pic>
              </a:graphicData>
            </a:graphic>
          </wp:anchor>
        </w:drawing>
      </w:r>
      <w:r w:rsidR="00A85418" w:rsidRPr="00E13FF4">
        <w:rPr>
          <w:rFonts w:asciiTheme="majorHAnsi" w:hAnsiTheme="majorHAnsi" w:cstheme="majorHAnsi"/>
          <w:sz w:val="20"/>
          <w:lang w:val="pl-PL"/>
        </w:rPr>
        <w:br w:type="page"/>
      </w:r>
    </w:p>
    <w:p w14:paraId="51858DF7" w14:textId="77777777" w:rsidR="00A85418" w:rsidRPr="00E13FF4" w:rsidRDefault="00A85418" w:rsidP="00A85418">
      <w:pPr>
        <w:spacing w:before="240"/>
        <w:rPr>
          <w:rFonts w:asciiTheme="majorHAnsi" w:hAnsiTheme="majorHAnsi" w:cstheme="majorHAnsi"/>
          <w:sz w:val="20"/>
          <w:lang w:val="pl-PL"/>
        </w:rPr>
      </w:pPr>
      <w:r w:rsidRPr="00E13FF4">
        <w:rPr>
          <w:rFonts w:asciiTheme="majorHAnsi" w:hAnsiTheme="majorHAnsi" w:cstheme="majorHAnsi"/>
          <w:noProof/>
          <w:lang w:eastAsia="en-GB"/>
        </w:rPr>
        <w:lastRenderedPageBreak/>
        <w:drawing>
          <wp:anchor distT="0" distB="0" distL="114300" distR="114300" simplePos="0" relativeHeight="251813888" behindDoc="0" locked="0" layoutInCell="1" allowOverlap="1" wp14:anchorId="77EB74C5" wp14:editId="3D550A87">
            <wp:simplePos x="0" y="0"/>
            <wp:positionH relativeFrom="margin">
              <wp:posOffset>0</wp:posOffset>
            </wp:positionH>
            <wp:positionV relativeFrom="paragraph">
              <wp:posOffset>-38087</wp:posOffset>
            </wp:positionV>
            <wp:extent cx="4572000" cy="2743200"/>
            <wp:effectExtent l="0" t="0" r="0" b="0"/>
            <wp:wrapNone/>
            <wp:docPr id="15" name="Chart 76">
              <a:extLst xmlns:a="http://schemas.openxmlformats.org/drawingml/2006/main">
                <a:ext uri="{FF2B5EF4-FFF2-40B4-BE49-F238E27FC236}">
                  <a16:creationId xmlns:a16="http://schemas.microsoft.com/office/drawing/2014/main" id="{D8EF90D2-54DA-4481-8985-7A140FED2C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0BA40B69" w14:textId="77777777" w:rsidR="00216115" w:rsidRPr="00E13FF4" w:rsidRDefault="00A85418" w:rsidP="00A85418">
      <w:pPr>
        <w:spacing w:before="240"/>
        <w:rPr>
          <w:rFonts w:asciiTheme="majorHAnsi" w:hAnsiTheme="majorHAnsi" w:cstheme="majorHAnsi"/>
          <w:sz w:val="20"/>
          <w:lang w:val="pl-PL"/>
        </w:rPr>
      </w:pPr>
      <w:r w:rsidRPr="00E13FF4">
        <w:rPr>
          <w:rFonts w:asciiTheme="majorHAnsi" w:hAnsiTheme="majorHAnsi" w:cstheme="majorHAnsi"/>
          <w:noProof/>
          <w:lang w:eastAsia="en-GB"/>
        </w:rPr>
        <mc:AlternateContent>
          <mc:Choice Requires="wps">
            <w:drawing>
              <wp:anchor distT="0" distB="0" distL="114300" distR="114300" simplePos="0" relativeHeight="251815936" behindDoc="0" locked="0" layoutInCell="1" allowOverlap="1" wp14:anchorId="515E4201" wp14:editId="44F5BB78">
                <wp:simplePos x="0" y="0"/>
                <wp:positionH relativeFrom="margin">
                  <wp:posOffset>1591905</wp:posOffset>
                </wp:positionH>
                <wp:positionV relativeFrom="paragraph">
                  <wp:posOffset>2436941</wp:posOffset>
                </wp:positionV>
                <wp:extent cx="3168650" cy="348847"/>
                <wp:effectExtent l="0" t="0" r="0" b="0"/>
                <wp:wrapNone/>
                <wp:docPr id="16" name="Text Box 10"/>
                <wp:cNvGraphicFramePr/>
                <a:graphic xmlns:a="http://schemas.openxmlformats.org/drawingml/2006/main">
                  <a:graphicData uri="http://schemas.microsoft.com/office/word/2010/wordprocessingShape">
                    <wps:wsp>
                      <wps:cNvSpPr txBox="1"/>
                      <wps:spPr>
                        <a:xfrm>
                          <a:off x="0" y="0"/>
                          <a:ext cx="3168650" cy="348847"/>
                        </a:xfrm>
                        <a:prstGeom prst="rect">
                          <a:avLst/>
                        </a:prstGeom>
                        <a:solidFill>
                          <a:prstClr val="white"/>
                        </a:solidFill>
                        <a:ln>
                          <a:noFill/>
                        </a:ln>
                      </wps:spPr>
                      <wps:txbx>
                        <w:txbxContent>
                          <w:p w14:paraId="083A1788" w14:textId="77777777" w:rsidR="00A85418" w:rsidRDefault="00A85418" w:rsidP="00A85418">
                            <w:pPr>
                              <w:pStyle w:val="Legenda"/>
                              <w:spacing w:after="0"/>
                            </w:pPr>
                            <w:r>
                              <w:t>Figura 4. Capacità idroelettrica installata in tutto il mondo nel 2019</w:t>
                            </w:r>
                          </w:p>
                          <w:p w14:paraId="37A56804" w14:textId="77777777" w:rsidR="00A85418" w:rsidRPr="008B4343" w:rsidRDefault="00A85418" w:rsidP="00A85418">
                            <w:pPr>
                              <w:spacing w:after="0"/>
                              <w:rPr>
                                <w:i/>
                                <w:iCs/>
                                <w:color w:val="44546A" w:themeColor="text2"/>
                                <w:sz w:val="18"/>
                                <w:szCs w:val="18"/>
                              </w:rPr>
                            </w:pPr>
                            <w:r w:rsidRPr="000D372E">
                              <w:rPr>
                                <w:i/>
                                <w:iCs/>
                                <w:color w:val="44546A" w:themeColor="text2"/>
                                <w:sz w:val="18"/>
                                <w:szCs w:val="18"/>
                              </w:rPr>
                              <w:t xml:space="preserve">Fonte: </w:t>
                            </w:r>
                            <w:hyperlink r:id="rId13" w:history="1">
                              <w:r w:rsidRPr="008B4343">
                                <w:rPr>
                                  <w:i/>
                                  <w:iCs/>
                                  <w:color w:val="44546A" w:themeColor="text2"/>
                                  <w:sz w:val="18"/>
                                  <w:szCs w:val="18"/>
                                </w:rPr>
                                <w:t>https://www.hydropower.org/statusreport</w:t>
                              </w:r>
                            </w:hyperlink>
                          </w:p>
                          <w:p w14:paraId="5F94305A" w14:textId="77777777" w:rsidR="00A85418" w:rsidRPr="000D372E" w:rsidRDefault="00A85418" w:rsidP="00A85418"/>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5E4201" id="Text Box 10" o:spid="_x0000_s1028" type="#_x0000_t202" style="position:absolute;margin-left:125.35pt;margin-top:191.9pt;width:249.5pt;height:27.45pt;z-index:251815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" stroked="f">
                <v:textbox inset="0,0,0,0">
                  <w:txbxContent>
                    <w:p w14:paraId="083A1788" w14:textId="77777777" w:rsidR="00A85418" w:rsidRDefault="00A85418" w:rsidP="00A85418">
                      <w:pPr>
                        <w:pStyle w:val="Legenda"/>
                        <w:spacing w:after="0"/>
                      </w:pPr>
                      <w:r>
                        <w:t>Figura 4. Capacità idroelettrica installata in tutto il mondo nel 2019</w:t>
                      </w:r>
                    </w:p>
                    <w:p w14:paraId="37A56804" w14:textId="77777777" w:rsidR="00A85418" w:rsidRPr="008B4343" w:rsidRDefault="00A85418" w:rsidP="00A85418">
                      <w:pPr>
                        <w:spacing w:after="0"/>
                        <w:rPr>
                          <w:i/>
                          <w:iCs/>
                          <w:color w:val="44546A" w:themeColor="text2"/>
                          <w:sz w:val="18"/>
                          <w:szCs w:val="18"/>
                        </w:rPr>
                      </w:pPr>
                      <w:r w:rsidRPr="000D372E">
                        <w:rPr>
                          <w:i/>
                          <w:iCs/>
                          <w:color w:val="44546A" w:themeColor="text2"/>
                          <w:sz w:val="18"/>
                          <w:szCs w:val="18"/>
                        </w:rPr>
                        <w:t xml:space="preserve">Fonte: </w:t>
                      </w:r>
                      <w:hyperlink r:id="rId14" w:history="1">
                        <w:r w:rsidRPr="008B4343">
                          <w:rPr>
                            <w:i/>
                            <w:iCs/>
                            <w:color w:val="44546A" w:themeColor="text2"/>
                            <w:sz w:val="18"/>
                            <w:szCs w:val="18"/>
                          </w:rPr>
                          <w:t>https://www.hydropower.org/statusreport</w:t>
                        </w:r>
                      </w:hyperlink>
                    </w:p>
                    <w:p w14:paraId="5F94305A" w14:textId="77777777" w:rsidR="00A85418" w:rsidRPr="000D372E" w:rsidRDefault="00A85418" w:rsidP="00A85418"/>
                  </w:txbxContent>
                </v:textbox>
                <w10:wrap anchorx="margin"/>
              </v:shape>
            </w:pict>
          </mc:Fallback>
        </mc:AlternateContent>
      </w:r>
      <w:r w:rsidR="00216115" w:rsidRPr="00E13FF4">
        <w:rPr>
          <w:rFonts w:asciiTheme="majorHAnsi" w:hAnsiTheme="majorHAnsi" w:cstheme="majorHAnsi"/>
          <w:sz w:val="20"/>
          <w:lang w:val="pl-PL"/>
        </w:rPr>
        <w:br w:type="page"/>
      </w:r>
    </w:p>
    <w:p w14:paraId="2F5663FB" w14:textId="77777777" w:rsidR="00A85418" w:rsidRPr="00E13FF4" w:rsidRDefault="00A85418" w:rsidP="00A85418">
      <w:pPr>
        <w:rPr>
          <w:rFonts w:asciiTheme="majorHAnsi" w:hAnsiTheme="majorHAnsi" w:cstheme="majorHAnsi"/>
          <w:lang w:val="pl-PL"/>
        </w:rPr>
      </w:pPr>
      <w:r w:rsidRPr="00E13FF4">
        <w:rPr>
          <w:rFonts w:asciiTheme="majorHAnsi" w:hAnsiTheme="majorHAnsi" w:cstheme="majorHAnsi"/>
          <w:lang w:val="pl-PL"/>
        </w:rPr>
        <w:lastRenderedPageBreak/>
        <w:t>SLIDE 4</w:t>
      </w:r>
    </w:p>
    <w:p w14:paraId="20466DCD" w14:textId="77777777" w:rsidR="00A85418" w:rsidRPr="00E13FF4" w:rsidRDefault="00A85418" w:rsidP="00A85418">
      <w:pPr>
        <w:rPr>
          <w:rFonts w:asciiTheme="majorHAnsi" w:hAnsiTheme="majorHAnsi" w:cstheme="majorHAnsi"/>
          <w:lang w:val="pl-PL"/>
        </w:rPr>
      </w:pPr>
      <w:r w:rsidRPr="00E13FF4">
        <w:rPr>
          <w:rFonts w:asciiTheme="majorHAnsi" w:hAnsiTheme="majorHAnsi" w:cstheme="majorHAnsi"/>
          <w:lang w:val="pl-PL"/>
        </w:rPr>
        <w:t xml:space="preserve">Energia eolica </w:t>
      </w:r>
    </w:p>
    <w:p w14:paraId="48EF0E3D" w14:textId="77777777" w:rsidR="00A85418" w:rsidRPr="00E13FF4" w:rsidRDefault="00A85418" w:rsidP="00A85418">
      <w:pPr>
        <w:rPr>
          <w:rFonts w:asciiTheme="majorHAnsi" w:hAnsiTheme="majorHAnsi" w:cstheme="majorHAnsi"/>
          <w:lang w:val="pl-PL"/>
        </w:rPr>
      </w:pPr>
      <w:r w:rsidRPr="00E13FF4">
        <w:rPr>
          <w:rFonts w:asciiTheme="majorHAnsi" w:hAnsiTheme="majorHAnsi" w:cstheme="majorHAnsi"/>
          <w:lang w:val="pl-PL"/>
        </w:rPr>
        <w:t>Come l'energia idrica, l'energia eolica è stata utilizzata dagli esseri umani per molti secoli aC. Si basa sull'uso del vento per far ruotare i generatori elettrici attraverso le turbine eoliche. Le turbine eoliche possono essere ampiamente classificate nei seguenti tipi in base all'orientamento dell'albero del rotore rispetto al vento in arrivo:</w:t>
      </w:r>
    </w:p>
    <w:p w14:paraId="16021FEA" w14:textId="77777777" w:rsidR="00A85418" w:rsidRPr="00E13FF4" w:rsidRDefault="00A85418" w:rsidP="00A85418">
      <w:pPr>
        <w:rPr>
          <w:rFonts w:asciiTheme="majorHAnsi" w:hAnsiTheme="majorHAnsi" w:cstheme="majorHAnsi"/>
          <w:lang w:val="pl-PL"/>
        </w:rPr>
      </w:pPr>
      <w:r w:rsidRPr="00E13FF4">
        <w:rPr>
          <w:rFonts w:asciiTheme="majorHAnsi" w:hAnsiTheme="majorHAnsi" w:cstheme="majorHAnsi"/>
          <w:lang w:val="pl-PL"/>
        </w:rPr>
        <w:t>• Macchine ad asse verticale - L'albero del rotore che trasporta le lame è perpendicolare al suolo</w:t>
      </w:r>
    </w:p>
    <w:p w14:paraId="6A8F211B" w14:textId="77777777" w:rsidR="00FB38F3" w:rsidRPr="00E13FF4" w:rsidRDefault="00A85418" w:rsidP="00A85418">
      <w:pPr>
        <w:rPr>
          <w:rFonts w:asciiTheme="majorHAnsi" w:hAnsiTheme="majorHAnsi" w:cstheme="majorHAnsi"/>
          <w:lang w:val="pl-PL"/>
        </w:rPr>
      </w:pPr>
      <w:r w:rsidRPr="00E13FF4">
        <w:rPr>
          <w:rFonts w:asciiTheme="majorHAnsi" w:hAnsiTheme="majorHAnsi" w:cstheme="majorHAnsi"/>
          <w:lang w:val="pl-PL"/>
        </w:rPr>
        <w:t>• Macchine con asse orizzontale: l'albero del rotore è montato su un asse orizzontale parallelo al suolo</w:t>
      </w:r>
    </w:p>
    <w:p w14:paraId="0FF6057E" w14:textId="77777777" w:rsidR="00A85418" w:rsidRPr="00E13FF4" w:rsidRDefault="00A85418" w:rsidP="00A85418">
      <w:pPr>
        <w:rPr>
          <w:rFonts w:asciiTheme="majorHAnsi" w:hAnsiTheme="majorHAnsi" w:cstheme="majorHAnsi"/>
          <w:lang w:val="pl-PL"/>
        </w:rPr>
      </w:pPr>
    </w:p>
    <w:p w14:paraId="6C3D6FD6" w14:textId="77777777" w:rsidR="00A85418" w:rsidRPr="00E13FF4" w:rsidRDefault="00A85418" w:rsidP="00A85418">
      <w:pPr>
        <w:rPr>
          <w:rFonts w:asciiTheme="majorHAnsi" w:hAnsiTheme="majorHAnsi" w:cstheme="majorHAnsi"/>
          <w:lang w:val="pl-PL"/>
        </w:rPr>
      </w:pPr>
      <w:r w:rsidRPr="00E13FF4">
        <w:rPr>
          <w:rFonts w:asciiTheme="majorHAnsi" w:hAnsiTheme="majorHAnsi" w:cstheme="majorHAnsi"/>
          <w:lang w:val="pl-PL"/>
        </w:rPr>
        <w:t>I parchi eolici possono essere posizionati sia a terra che in mare. Le aziende agricole offshore sono relativamente più costose, ma più stabili ed efficienti. Inoltre, non sono associati a un aspetto negativo, come nel caso delle aziende agricole a terra.</w:t>
      </w:r>
    </w:p>
    <w:p w14:paraId="0BF8665F" w14:textId="77777777" w:rsidR="00F527DA" w:rsidRPr="00E13FF4" w:rsidRDefault="00F527DA" w:rsidP="00A85418">
      <w:pPr>
        <w:rPr>
          <w:rFonts w:asciiTheme="majorHAnsi" w:hAnsiTheme="majorHAnsi" w:cstheme="majorHAnsi"/>
          <w:lang w:val="pl-PL"/>
        </w:rPr>
      </w:pPr>
      <w:r w:rsidRPr="00E13FF4">
        <w:rPr>
          <w:rFonts w:asciiTheme="majorHAnsi" w:hAnsiTheme="majorHAnsi" w:cstheme="majorHAnsi"/>
          <w:noProof/>
          <w:lang w:eastAsia="en-GB"/>
        </w:rPr>
        <w:drawing>
          <wp:anchor distT="0" distB="0" distL="114300" distR="114300" simplePos="0" relativeHeight="251817984" behindDoc="0" locked="0" layoutInCell="1" allowOverlap="1" wp14:anchorId="13F1156B" wp14:editId="22CF7780">
            <wp:simplePos x="0" y="0"/>
            <wp:positionH relativeFrom="column">
              <wp:posOffset>0</wp:posOffset>
            </wp:positionH>
            <wp:positionV relativeFrom="paragraph">
              <wp:posOffset>285750</wp:posOffset>
            </wp:positionV>
            <wp:extent cx="3422015" cy="1315085"/>
            <wp:effectExtent l="0" t="0" r="6985" b="0"/>
            <wp:wrapThrough wrapText="bothSides">
              <wp:wrapPolygon edited="0">
                <wp:start x="0" y="0"/>
                <wp:lineTo x="0" y="21277"/>
                <wp:lineTo x="21524" y="21277"/>
                <wp:lineTo x="21524" y="0"/>
                <wp:lineTo x="0" y="0"/>
              </wp:wrapPolygon>
            </wp:wrapThrough>
            <wp:docPr id="1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22015" cy="1315085"/>
                    </a:xfrm>
                    <a:prstGeom prst="rect">
                      <a:avLst/>
                    </a:prstGeom>
                  </pic:spPr>
                </pic:pic>
              </a:graphicData>
            </a:graphic>
            <wp14:sizeRelH relativeFrom="margin">
              <wp14:pctWidth>0</wp14:pctWidth>
            </wp14:sizeRelH>
            <wp14:sizeRelV relativeFrom="margin">
              <wp14:pctHeight>0</wp14:pctHeight>
            </wp14:sizeRelV>
          </wp:anchor>
        </w:drawing>
      </w:r>
    </w:p>
    <w:p w14:paraId="537C0747" w14:textId="77777777" w:rsidR="00FB38F3" w:rsidRPr="00E13FF4" w:rsidRDefault="00FB38F3" w:rsidP="00F6492E">
      <w:pPr>
        <w:rPr>
          <w:rFonts w:asciiTheme="majorHAnsi" w:hAnsiTheme="majorHAnsi" w:cstheme="majorHAnsi"/>
          <w:lang w:val="pl-PL"/>
        </w:rPr>
      </w:pPr>
    </w:p>
    <w:p w14:paraId="5830148B" w14:textId="77777777" w:rsidR="00F527DA" w:rsidRPr="00E13FF4" w:rsidRDefault="00F527DA" w:rsidP="00F6492E">
      <w:pPr>
        <w:rPr>
          <w:rFonts w:asciiTheme="majorHAnsi" w:hAnsiTheme="majorHAnsi" w:cstheme="majorHAnsi"/>
          <w:lang w:val="pl-PL"/>
        </w:rPr>
      </w:pPr>
    </w:p>
    <w:p w14:paraId="47910BF6" w14:textId="77777777" w:rsidR="00F527DA" w:rsidRPr="00E13FF4" w:rsidRDefault="00F527DA" w:rsidP="00F6492E">
      <w:pPr>
        <w:rPr>
          <w:rFonts w:asciiTheme="majorHAnsi" w:hAnsiTheme="majorHAnsi" w:cstheme="majorHAnsi"/>
          <w:lang w:val="pl-PL"/>
        </w:rPr>
      </w:pPr>
    </w:p>
    <w:p w14:paraId="2284B2B0" w14:textId="77777777" w:rsidR="00F527DA" w:rsidRPr="00E13FF4" w:rsidRDefault="00F527DA" w:rsidP="00F6492E">
      <w:pPr>
        <w:rPr>
          <w:rFonts w:asciiTheme="majorHAnsi" w:hAnsiTheme="majorHAnsi" w:cstheme="majorHAnsi"/>
          <w:lang w:val="pl-PL"/>
        </w:rPr>
      </w:pPr>
    </w:p>
    <w:p w14:paraId="57C7C701" w14:textId="77777777" w:rsidR="00F527DA" w:rsidRPr="00E13FF4" w:rsidRDefault="00F527DA" w:rsidP="00F6492E">
      <w:pPr>
        <w:rPr>
          <w:rFonts w:asciiTheme="majorHAnsi" w:hAnsiTheme="majorHAnsi" w:cstheme="majorHAnsi"/>
          <w:lang w:val="pl-PL"/>
        </w:rPr>
      </w:pPr>
      <w:r w:rsidRPr="00E13FF4">
        <w:rPr>
          <w:rFonts w:asciiTheme="majorHAnsi" w:hAnsiTheme="majorHAnsi" w:cstheme="majorHAnsi"/>
          <w:noProof/>
          <w:lang w:eastAsia="en-GB"/>
        </w:rPr>
        <mc:AlternateContent>
          <mc:Choice Requires="wps">
            <w:drawing>
              <wp:anchor distT="0" distB="0" distL="114300" distR="114300" simplePos="0" relativeHeight="251820032" behindDoc="0" locked="0" layoutInCell="1" allowOverlap="1" wp14:anchorId="0C2823DF" wp14:editId="7AF4E897">
                <wp:simplePos x="0" y="0"/>
                <wp:positionH relativeFrom="margin">
                  <wp:align>center</wp:align>
                </wp:positionH>
                <wp:positionV relativeFrom="paragraph">
                  <wp:posOffset>133708</wp:posOffset>
                </wp:positionV>
                <wp:extent cx="5731510" cy="635"/>
                <wp:effectExtent l="0" t="0" r="2540" b="0"/>
                <wp:wrapNone/>
                <wp:docPr id="19" name="Text Box 26"/>
                <wp:cNvGraphicFramePr/>
                <a:graphic xmlns:a="http://schemas.openxmlformats.org/drawingml/2006/main">
                  <a:graphicData uri="http://schemas.microsoft.com/office/word/2010/wordprocessingShape">
                    <wps:wsp>
                      <wps:cNvSpPr txBox="1"/>
                      <wps:spPr>
                        <a:xfrm>
                          <a:off x="0" y="0"/>
                          <a:ext cx="5731510" cy="635"/>
                        </a:xfrm>
                        <a:prstGeom prst="rect">
                          <a:avLst/>
                        </a:prstGeom>
                        <a:solidFill>
                          <a:prstClr val="white"/>
                        </a:solidFill>
                        <a:ln>
                          <a:noFill/>
                        </a:ln>
                      </wps:spPr>
                      <wps:txbx>
                        <w:txbxContent>
                          <w:p w14:paraId="20CA15BA" w14:textId="77777777" w:rsidR="00F527DA" w:rsidRPr="00A37FDF" w:rsidRDefault="00F527DA" w:rsidP="00F527DA">
                            <w:pPr>
                              <w:pStyle w:val="Legenda"/>
                              <w:spacing w:after="0"/>
                            </w:pPr>
                            <w:r>
                              <w:t>Figura 5. Asset delle centrali elettriche offshore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C2823DF" id="Text Box 26" o:spid="_x0000_s1029" type="#_x0000_t202" style="position:absolute;margin-left:0;margin-top:10.55pt;width:451.3pt;height:.05pt;z-index:25182003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" stroked="f">
                <v:textbox style="mso-fit-shape-to-text:t" inset="0,0,0,0">
                  <w:txbxContent>
                    <w:p w14:paraId="20CA15BA" w14:textId="77777777" w:rsidR="00F527DA" w:rsidRPr="00A37FDF" w:rsidRDefault="00F527DA" w:rsidP="00F527DA">
                      <w:pPr>
                        <w:pStyle w:val="Legenda"/>
                        <w:spacing w:after="0"/>
                      </w:pPr>
                      <w:r>
                        <w:t>Figura 5. Asset delle centrali elettriche offshore</w:t>
                      </w:r>
                    </w:p>
                  </w:txbxContent>
                </v:textbox>
                <w10:wrap anchorx="margin"/>
              </v:shape>
            </w:pict>
          </mc:Fallback>
        </mc:AlternateContent>
      </w:r>
    </w:p>
    <w:p w14:paraId="262A4CA1" w14:textId="77777777" w:rsidR="00F527DA" w:rsidRPr="00E13FF4" w:rsidRDefault="00F527DA" w:rsidP="00F6492E">
      <w:pPr>
        <w:rPr>
          <w:rFonts w:asciiTheme="majorHAnsi" w:hAnsiTheme="majorHAnsi" w:cstheme="majorHAnsi"/>
          <w:lang w:val="pl-PL"/>
        </w:rPr>
      </w:pPr>
    </w:p>
    <w:p w14:paraId="3FCA791B" w14:textId="77777777" w:rsidR="00F527DA" w:rsidRPr="00E13FF4" w:rsidRDefault="00F527DA" w:rsidP="00F527DA">
      <w:pPr>
        <w:rPr>
          <w:rFonts w:asciiTheme="majorHAnsi" w:hAnsiTheme="majorHAnsi" w:cstheme="majorHAnsi"/>
          <w:lang w:val="pl-PL"/>
        </w:rPr>
      </w:pPr>
      <w:r w:rsidRPr="00E13FF4">
        <w:rPr>
          <w:rFonts w:asciiTheme="majorHAnsi" w:hAnsiTheme="majorHAnsi" w:cstheme="majorHAnsi"/>
          <w:lang w:val="pl-PL"/>
        </w:rPr>
        <w:t>Energia eolica - occupazione e produzione</w:t>
      </w:r>
    </w:p>
    <w:p w14:paraId="5594D8A0" w14:textId="77777777" w:rsidR="00F527DA" w:rsidRPr="00E13FF4" w:rsidRDefault="00F527DA" w:rsidP="00F527DA">
      <w:pPr>
        <w:rPr>
          <w:rFonts w:asciiTheme="majorHAnsi" w:hAnsiTheme="majorHAnsi" w:cstheme="majorHAnsi"/>
          <w:lang w:val="pl-PL"/>
        </w:rPr>
      </w:pPr>
      <w:r w:rsidRPr="00E13FF4">
        <w:rPr>
          <w:rFonts w:asciiTheme="majorHAnsi" w:hAnsiTheme="majorHAnsi" w:cstheme="majorHAnsi"/>
          <w:lang w:val="pl-PL"/>
        </w:rPr>
        <w:t>L'energia eolica è la seconda fonte di energia rinnovabile più utilizzata. Nel 2017 ha rappresentato il 18% della produzione mondiale di energia rinnovabile. La maggior parte dell'industria eolica opera onshore (540 GW rispetto ai 23 GW offshore in base al rapporto IRENA del 2019).</w:t>
      </w:r>
    </w:p>
    <w:p w14:paraId="4A474778" w14:textId="77777777" w:rsidR="00F527DA" w:rsidRPr="00E13FF4" w:rsidRDefault="00F527DA" w:rsidP="00F527DA">
      <w:pPr>
        <w:rPr>
          <w:rFonts w:asciiTheme="majorHAnsi" w:hAnsiTheme="majorHAnsi" w:cstheme="majorHAnsi"/>
          <w:lang w:val="pl-PL"/>
        </w:rPr>
      </w:pPr>
      <w:r w:rsidRPr="00E13FF4">
        <w:rPr>
          <w:rFonts w:asciiTheme="majorHAnsi" w:hAnsiTheme="majorHAnsi" w:cstheme="majorHAnsi"/>
          <w:lang w:val="pl-PL"/>
        </w:rPr>
        <w:t>L'industria dell'energia eolica impiega circa 1,16 milioni di persone in tutto il mondo e il 44% dei posti di lavoro si trova in Cina. Sebbene il vento sia una fonte di energia costante durante tutto l'anno, ci sono variazioni significative nei periodi più brevi, quindi viene utilizzato con altre fonti di energia o insieme alle batterie per fornire energia affidabile.</w:t>
      </w:r>
    </w:p>
    <w:p w14:paraId="2B8D9C2A" w14:textId="77777777" w:rsidR="00F527DA" w:rsidRPr="00E13FF4" w:rsidRDefault="00F527DA" w:rsidP="00F527DA">
      <w:pPr>
        <w:rPr>
          <w:rFonts w:asciiTheme="majorHAnsi" w:hAnsiTheme="majorHAnsi" w:cstheme="majorHAnsi"/>
          <w:lang w:val="pl-PL"/>
        </w:rPr>
      </w:pPr>
    </w:p>
    <w:p w14:paraId="72ACBB5D" w14:textId="77777777" w:rsidR="00F527DA" w:rsidRPr="00E13FF4" w:rsidRDefault="00F527DA" w:rsidP="00F527DA">
      <w:pPr>
        <w:rPr>
          <w:rFonts w:asciiTheme="majorHAnsi" w:hAnsiTheme="majorHAnsi" w:cstheme="majorHAnsi"/>
          <w:lang w:val="pl-PL"/>
        </w:rPr>
      </w:pPr>
      <w:r w:rsidRPr="00E13FF4">
        <w:rPr>
          <w:rFonts w:asciiTheme="majorHAnsi" w:hAnsiTheme="majorHAnsi" w:cstheme="majorHAnsi"/>
          <w:lang w:val="pl-PL"/>
        </w:rPr>
        <w:t>SLIDE 6</w:t>
      </w:r>
    </w:p>
    <w:p w14:paraId="679CE342" w14:textId="77777777" w:rsidR="00F527DA" w:rsidRPr="00E13FF4" w:rsidRDefault="00F527DA" w:rsidP="00F527DA">
      <w:pPr>
        <w:rPr>
          <w:rFonts w:asciiTheme="majorHAnsi" w:hAnsiTheme="majorHAnsi" w:cstheme="majorHAnsi"/>
          <w:lang w:val="pl-PL"/>
        </w:rPr>
      </w:pPr>
      <w:r w:rsidRPr="00E13FF4">
        <w:rPr>
          <w:rFonts w:asciiTheme="majorHAnsi" w:hAnsiTheme="majorHAnsi" w:cstheme="majorHAnsi"/>
          <w:lang w:val="pl-PL"/>
        </w:rPr>
        <w:t>Energia solare</w:t>
      </w:r>
    </w:p>
    <w:p w14:paraId="08C73A37" w14:textId="77777777" w:rsidR="00F527DA" w:rsidRPr="00E13FF4" w:rsidRDefault="00F527DA" w:rsidP="00F527DA">
      <w:pPr>
        <w:rPr>
          <w:rFonts w:asciiTheme="majorHAnsi" w:hAnsiTheme="majorHAnsi" w:cstheme="majorHAnsi"/>
          <w:lang w:val="pl-PL"/>
        </w:rPr>
      </w:pPr>
    </w:p>
    <w:p w14:paraId="5E10FE49" w14:textId="77777777" w:rsidR="00F527DA" w:rsidRPr="00E13FF4" w:rsidRDefault="00F527DA" w:rsidP="00F527DA">
      <w:pPr>
        <w:rPr>
          <w:rFonts w:asciiTheme="majorHAnsi" w:hAnsiTheme="majorHAnsi" w:cstheme="majorHAnsi"/>
          <w:lang w:val="pl-PL"/>
        </w:rPr>
      </w:pPr>
      <w:r w:rsidRPr="00E13FF4">
        <w:rPr>
          <w:rFonts w:asciiTheme="majorHAnsi" w:hAnsiTheme="majorHAnsi" w:cstheme="majorHAnsi"/>
          <w:lang w:val="pl-PL"/>
        </w:rPr>
        <w:t xml:space="preserve">L'energia solare converte semplicemente la luce solare in elettricità. Ciò può essere ottenuto utilizzando il fotovoltaico o concentrando l'energia solare. Le celle fotovoltaiche convertono la luce in </w:t>
      </w:r>
      <w:r w:rsidRPr="00E13FF4">
        <w:rPr>
          <w:rFonts w:asciiTheme="majorHAnsi" w:hAnsiTheme="majorHAnsi" w:cstheme="majorHAnsi"/>
          <w:lang w:val="pl-PL"/>
        </w:rPr>
        <w:lastRenderedPageBreak/>
        <w:t>elettricità utilizzando l'effetto fotovoltaico, mentre i sistemi a energia solare concentrata utilizzano lenti o specchi e sistemi di tracciamento per focalizzare una vasta area di luce solare in un piccolo raggio.</w:t>
      </w:r>
      <w:r w:rsidRPr="00E13FF4">
        <w:rPr>
          <w:rStyle w:val="Odwoanieprzypisudolnego"/>
          <w:rFonts w:asciiTheme="majorHAnsi" w:hAnsiTheme="majorHAnsi" w:cstheme="majorHAnsi"/>
          <w:sz w:val="20"/>
        </w:rPr>
        <w:footnoteReference w:id="3"/>
      </w:r>
    </w:p>
    <w:p w14:paraId="4CF81A19" w14:textId="77777777" w:rsidR="00F527DA" w:rsidRPr="00E13FF4" w:rsidRDefault="00F527DA" w:rsidP="00F527DA">
      <w:pPr>
        <w:rPr>
          <w:rFonts w:asciiTheme="majorHAnsi" w:hAnsiTheme="majorHAnsi" w:cstheme="majorHAnsi"/>
          <w:lang w:val="pl-PL"/>
        </w:rPr>
      </w:pPr>
      <w:r w:rsidRPr="00E13FF4">
        <w:rPr>
          <w:rFonts w:asciiTheme="majorHAnsi" w:hAnsiTheme="majorHAnsi" w:cstheme="majorHAnsi"/>
          <w:lang w:val="pl-PL"/>
        </w:rPr>
        <w:t>Gli impianti fotovoltaici possono essere raggruppati per fornire elettricità su scala commerciale o disposti in configurazioni più piccole per mini-reti o per uso personale. Usare il solare fotovoltaico per alimentare una piccola rete è un modo eccellente per fornire accesso all'elettricità a persone che non vivono vicino alle linee di trasmissione, specialmente nei paesi in via di sviluppo con eccellenti risorse di energia solare.</w:t>
      </w:r>
      <w:r w:rsidRPr="00E13FF4">
        <w:rPr>
          <w:rStyle w:val="Odwoanieprzypisudolnego"/>
          <w:rFonts w:asciiTheme="majorHAnsi" w:hAnsiTheme="majorHAnsi" w:cstheme="majorHAnsi"/>
          <w:sz w:val="20"/>
        </w:rPr>
        <w:footnoteReference w:id="4"/>
      </w:r>
    </w:p>
    <w:p w14:paraId="650E1A48" w14:textId="77777777" w:rsidR="00F527DA" w:rsidRPr="00E13FF4" w:rsidRDefault="00F527DA" w:rsidP="00F527DA">
      <w:pPr>
        <w:rPr>
          <w:rFonts w:asciiTheme="majorHAnsi" w:hAnsiTheme="majorHAnsi" w:cstheme="majorHAnsi"/>
          <w:lang w:val="pl-PL"/>
        </w:rPr>
      </w:pPr>
      <w:r w:rsidRPr="00E13FF4">
        <w:rPr>
          <w:rFonts w:asciiTheme="majorHAnsi" w:hAnsiTheme="majorHAnsi" w:cstheme="majorHAnsi"/>
          <w:lang w:val="pl-PL"/>
        </w:rPr>
        <w:t>Dal 2011, l'energia solare è il settore delle energie rinnovabili più investito (vedi Figura 7), il che ha portato a un'enorme riduzione del costo del solare fotovoltaico (vedi Figura 6). Ciò è estremamente importante nelle regioni povere dove la mancanza di infrastrutture impedisce alle persone di accedere all'elettricità.</w:t>
      </w:r>
    </w:p>
    <w:p w14:paraId="691316E4" w14:textId="77777777" w:rsidR="00F527DA" w:rsidRPr="00E13FF4" w:rsidRDefault="00F527DA" w:rsidP="00F6492E">
      <w:pPr>
        <w:rPr>
          <w:rFonts w:asciiTheme="majorHAnsi" w:hAnsiTheme="majorHAnsi" w:cstheme="majorHAnsi"/>
          <w:lang w:val="pl-PL"/>
        </w:rPr>
      </w:pPr>
      <w:r w:rsidRPr="00E13FF4">
        <w:rPr>
          <w:rFonts w:asciiTheme="majorHAnsi" w:hAnsiTheme="majorHAnsi" w:cstheme="majorHAnsi"/>
          <w:noProof/>
          <w:lang w:eastAsia="en-GB"/>
        </w:rPr>
        <w:drawing>
          <wp:anchor distT="0" distB="0" distL="114300" distR="114300" simplePos="0" relativeHeight="251822080" behindDoc="0" locked="0" layoutInCell="1" allowOverlap="1" wp14:anchorId="208BED1B" wp14:editId="3313EF37">
            <wp:simplePos x="0" y="0"/>
            <wp:positionH relativeFrom="column">
              <wp:posOffset>0</wp:posOffset>
            </wp:positionH>
            <wp:positionV relativeFrom="paragraph">
              <wp:posOffset>-635</wp:posOffset>
            </wp:positionV>
            <wp:extent cx="4572000" cy="2743200"/>
            <wp:effectExtent l="0" t="0" r="0" b="0"/>
            <wp:wrapNone/>
            <wp:docPr id="20" name="Chart 78">
              <a:extLst xmlns:a="http://schemas.openxmlformats.org/drawingml/2006/main">
                <a:ext uri="{FF2B5EF4-FFF2-40B4-BE49-F238E27FC236}">
                  <a16:creationId xmlns:a16="http://schemas.microsoft.com/office/drawing/2014/main" id="{FFB7DBDC-457A-49A1-8719-D06A0F75D0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14:paraId="1C6227C2" w14:textId="77777777" w:rsidR="00F527DA" w:rsidRPr="00E13FF4" w:rsidRDefault="00F527DA" w:rsidP="00F527DA">
      <w:pPr>
        <w:rPr>
          <w:rFonts w:asciiTheme="majorHAnsi" w:hAnsiTheme="majorHAnsi" w:cstheme="majorHAnsi"/>
          <w:sz w:val="20"/>
          <w:lang w:val="pl-PL"/>
        </w:rPr>
      </w:pPr>
      <w:r w:rsidRPr="00E13FF4">
        <w:rPr>
          <w:rFonts w:asciiTheme="majorHAnsi" w:hAnsiTheme="majorHAnsi" w:cstheme="majorHAnsi"/>
          <w:noProof/>
          <w:sz w:val="20"/>
          <w:lang w:eastAsia="en-GB"/>
        </w:rPr>
        <mc:AlternateContent>
          <mc:Choice Requires="wps">
            <w:drawing>
              <wp:anchor distT="0" distB="0" distL="114300" distR="114300" simplePos="0" relativeHeight="251828224" behindDoc="0" locked="0" layoutInCell="1" allowOverlap="1" wp14:anchorId="1ECCD29F" wp14:editId="32B8D5BC">
                <wp:simplePos x="0" y="0"/>
                <wp:positionH relativeFrom="margin">
                  <wp:align>left</wp:align>
                </wp:positionH>
                <wp:positionV relativeFrom="paragraph">
                  <wp:posOffset>6232911</wp:posOffset>
                </wp:positionV>
                <wp:extent cx="5264150" cy="306562"/>
                <wp:effectExtent l="0" t="0" r="0" b="0"/>
                <wp:wrapNone/>
                <wp:docPr id="23" name="Text Box 31"/>
                <wp:cNvGraphicFramePr/>
                <a:graphic xmlns:a="http://schemas.openxmlformats.org/drawingml/2006/main">
                  <a:graphicData uri="http://schemas.microsoft.com/office/word/2010/wordprocessingShape">
                    <wps:wsp>
                      <wps:cNvSpPr txBox="1"/>
                      <wps:spPr>
                        <a:xfrm>
                          <a:off x="0" y="0"/>
                          <a:ext cx="5264150" cy="306562"/>
                        </a:xfrm>
                        <a:prstGeom prst="rect">
                          <a:avLst/>
                        </a:prstGeom>
                        <a:solidFill>
                          <a:prstClr val="white"/>
                        </a:solidFill>
                        <a:ln>
                          <a:noFill/>
                        </a:ln>
                      </wps:spPr>
                      <wps:txbx>
                        <w:txbxContent>
                          <w:p w14:paraId="1B59100F" w14:textId="77777777" w:rsidR="00F527DA" w:rsidRDefault="00F527DA" w:rsidP="00F527DA">
                            <w:pPr>
                              <w:pStyle w:val="Legenda"/>
                              <w:spacing w:after="0"/>
                            </w:pPr>
                            <w:r>
                              <w:t>Figura 7. Tendenze globali negli investimenti nelle energie rinnovabili</w:t>
                            </w:r>
                          </w:p>
                          <w:p w14:paraId="42C9C519" w14:textId="77777777" w:rsidR="00F527DA" w:rsidRPr="00644A02" w:rsidRDefault="00F527DA" w:rsidP="00F527DA">
                            <w:pPr>
                              <w:spacing w:after="0"/>
                            </w:pPr>
                            <w:r w:rsidRPr="00644A02">
                              <w:rPr>
                                <w:i/>
                                <w:iCs/>
                                <w:color w:val="44546A" w:themeColor="text2"/>
                                <w:sz w:val="18"/>
                                <w:szCs w:val="18"/>
                              </w:rPr>
                              <w:t xml:space="preserve">Fonte: </w:t>
                            </w:r>
                            <w:hyperlink r:id="rId17" w:history="1">
                              <w:r w:rsidRPr="00644A02">
                                <w:rPr>
                                  <w:rStyle w:val="Hipercze"/>
                                  <w:sz w:val="18"/>
                                </w:rPr>
                                <w:t>https://www.irena.org/Statistics/View-Data-by-Topic/Finance-and-Investment/Investment-Trends</w:t>
                              </w:r>
                            </w:hyperlink>
                            <w:r>
                              <w:rPr>
                                <w:sz w:val="18"/>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CCD29F" id="Text Box 31" o:spid="_x0000_s1030" type="#_x0000_t202" style="position:absolute;margin-left:0;margin-top:490.8pt;width:414.5pt;height:24.15pt;z-index:25182822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" stroked="f">
                <v:textbox inset="0,0,0,0">
                  <w:txbxContent>
                    <w:p w14:paraId="1B59100F" w14:textId="77777777" w:rsidR="00F527DA" w:rsidRDefault="00F527DA" w:rsidP="00F527DA">
                      <w:pPr>
                        <w:pStyle w:val="Legenda"/>
                        <w:spacing w:after="0"/>
                      </w:pPr>
                      <w:r>
                        <w:t>Figura 7. Tendenze globali negli investimenti nelle energie rinnovabili</w:t>
                      </w:r>
                    </w:p>
                    <w:p w14:paraId="42C9C519" w14:textId="77777777" w:rsidR="00F527DA" w:rsidRPr="00644A02" w:rsidRDefault="00F527DA" w:rsidP="00F527DA">
                      <w:pPr>
                        <w:spacing w:after="0"/>
                      </w:pPr>
                      <w:r w:rsidRPr="00644A02">
                        <w:rPr>
                          <w:i/>
                          <w:iCs/>
                          <w:color w:val="44546A" w:themeColor="text2"/>
                          <w:sz w:val="18"/>
                          <w:szCs w:val="18"/>
                        </w:rPr>
                        <w:t xml:space="preserve">Fonte: </w:t>
                      </w:r>
                      <w:hyperlink r:id="rId18" w:history="1">
                        <w:r w:rsidRPr="00644A02">
                          <w:rPr>
                            <w:rStyle w:val="Hipercze"/>
                            <w:sz w:val="18"/>
                          </w:rPr>
                          <w:t>https://www.irena.org/Statistics/View-Data-by-Topic/Finance-and-Investment/Investment-Trends</w:t>
                        </w:r>
                      </w:hyperlink>
                      <w:r>
                        <w:rPr>
                          <w:sz w:val="18"/>
                        </w:rPr>
                        <w:t xml:space="preserve"> </w:t>
                      </w:r>
                    </w:p>
                  </w:txbxContent>
                </v:textbox>
                <w10:wrap anchorx="margin"/>
              </v:shape>
            </w:pict>
          </mc:Fallback>
        </mc:AlternateContent>
      </w:r>
      <w:r w:rsidRPr="00E13FF4">
        <w:rPr>
          <w:rFonts w:asciiTheme="majorHAnsi" w:hAnsiTheme="majorHAnsi" w:cstheme="majorHAnsi"/>
          <w:noProof/>
          <w:lang w:eastAsia="en-GB"/>
        </w:rPr>
        <w:drawing>
          <wp:anchor distT="0" distB="0" distL="114300" distR="114300" simplePos="0" relativeHeight="251826176" behindDoc="0" locked="0" layoutInCell="1" allowOverlap="1" wp14:anchorId="77EC5B12" wp14:editId="416EB035">
            <wp:simplePos x="0" y="0"/>
            <wp:positionH relativeFrom="margin">
              <wp:align>left</wp:align>
            </wp:positionH>
            <wp:positionV relativeFrom="paragraph">
              <wp:posOffset>2957251</wp:posOffset>
            </wp:positionV>
            <wp:extent cx="5194621" cy="2972871"/>
            <wp:effectExtent l="0" t="0" r="6350" b="0"/>
            <wp:wrapNone/>
            <wp:docPr id="22" name="Chart 81">
              <a:extLst xmlns:a="http://schemas.openxmlformats.org/drawingml/2006/main">
                <a:ext uri="{FF2B5EF4-FFF2-40B4-BE49-F238E27FC236}">
                  <a16:creationId xmlns:a16="http://schemas.microsoft.com/office/drawing/2014/main" id="{0E5C9D04-DA13-4CAC-AC08-9FE9332AEBB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sidRPr="00E13FF4">
        <w:rPr>
          <w:rFonts w:asciiTheme="majorHAnsi" w:hAnsiTheme="majorHAnsi" w:cstheme="majorHAnsi"/>
          <w:noProof/>
          <w:lang w:eastAsia="en-GB"/>
        </w:rPr>
        <mc:AlternateContent>
          <mc:Choice Requires="wps">
            <w:drawing>
              <wp:anchor distT="0" distB="0" distL="114300" distR="114300" simplePos="0" relativeHeight="251824128" behindDoc="0" locked="0" layoutInCell="1" allowOverlap="1" wp14:anchorId="4E6AC608" wp14:editId="713C0682">
                <wp:simplePos x="0" y="0"/>
                <wp:positionH relativeFrom="margin">
                  <wp:align>right</wp:align>
                </wp:positionH>
                <wp:positionV relativeFrom="paragraph">
                  <wp:posOffset>2518217</wp:posOffset>
                </wp:positionV>
                <wp:extent cx="5731510" cy="635"/>
                <wp:effectExtent l="0" t="0" r="2540" b="8255"/>
                <wp:wrapNone/>
                <wp:docPr id="21" name="Text Box 79"/>
                <wp:cNvGraphicFramePr/>
                <a:graphic xmlns:a="http://schemas.openxmlformats.org/drawingml/2006/main">
                  <a:graphicData uri="http://schemas.microsoft.com/office/word/2010/wordprocessingShape">
                    <wps:wsp>
                      <wps:cNvSpPr txBox="1"/>
                      <wps:spPr>
                        <a:xfrm>
                          <a:off x="0" y="0"/>
                          <a:ext cx="5731510" cy="635"/>
                        </a:xfrm>
                        <a:prstGeom prst="rect">
                          <a:avLst/>
                        </a:prstGeom>
                        <a:solidFill>
                          <a:prstClr val="white"/>
                        </a:solidFill>
                        <a:ln>
                          <a:noFill/>
                        </a:ln>
                      </wps:spPr>
                      <wps:txbx>
                        <w:txbxContent>
                          <w:p w14:paraId="48F490C9" w14:textId="77777777" w:rsidR="00F527DA" w:rsidRDefault="00F527DA" w:rsidP="00F527DA">
                            <w:pPr>
                              <w:pStyle w:val="Legenda"/>
                              <w:spacing w:after="0"/>
                            </w:pPr>
                            <w:r>
                              <w:t>Figura 6. Costo dei moduli solari fotovoltaici negli anni 1976-2016</w:t>
                            </w:r>
                          </w:p>
                          <w:p w14:paraId="6963481B" w14:textId="77777777" w:rsidR="00F527DA" w:rsidRPr="00D2499A" w:rsidRDefault="00F527DA" w:rsidP="00F527DA">
                            <w:r w:rsidRPr="008C4C35">
                              <w:rPr>
                                <w:i/>
                                <w:iCs/>
                                <w:color w:val="44546A" w:themeColor="text2"/>
                                <w:sz w:val="18"/>
                                <w:szCs w:val="18"/>
                              </w:rPr>
                              <w:t>Fonte:</w:t>
                            </w:r>
                            <w:r>
                              <w:t xml:space="preserve"> </w:t>
                            </w:r>
                            <w:hyperlink r:id="rId20" w:history="1">
                              <w:r w:rsidRPr="008C4C35">
                                <w:rPr>
                                  <w:i/>
                                  <w:iCs/>
                                  <w:color w:val="44546A" w:themeColor="text2"/>
                                  <w:sz w:val="18"/>
                                  <w:szCs w:val="18"/>
                                </w:rPr>
                                <w:t>https://ourworldindata.org/grapher/solar-pv-prices</w:t>
                              </w:r>
                            </w:hyperlink>
                            <w: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E6AC608" id="Text Box 79" o:spid="_x0000_s1031" type="#_x0000_t202" style="position:absolute;margin-left:400.1pt;margin-top:198.3pt;width:451.3pt;height:.05pt;z-index:25182412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" stroked="f">
                <v:textbox style="mso-fit-shape-to-text:t" inset="0,0,0,0">
                  <w:txbxContent>
                    <w:p w14:paraId="48F490C9" w14:textId="77777777" w:rsidR="00F527DA" w:rsidRDefault="00F527DA" w:rsidP="00F527DA">
                      <w:pPr>
                        <w:pStyle w:val="Legenda"/>
                        <w:spacing w:after="0"/>
                      </w:pPr>
                      <w:r>
                        <w:t>Figura 6. Costo dei moduli solari fotovoltaici negli anni 1976-2016</w:t>
                      </w:r>
                    </w:p>
                    <w:p w14:paraId="6963481B" w14:textId="77777777" w:rsidR="00F527DA" w:rsidRPr="00D2499A" w:rsidRDefault="00F527DA" w:rsidP="00F527DA">
                      <w:r w:rsidRPr="008C4C35">
                        <w:rPr>
                          <w:i/>
                          <w:iCs/>
                          <w:color w:val="44546A" w:themeColor="text2"/>
                          <w:sz w:val="18"/>
                          <w:szCs w:val="18"/>
                        </w:rPr>
                        <w:t>Fonte:</w:t>
                      </w:r>
                      <w:r>
                        <w:t xml:space="preserve"> </w:t>
                      </w:r>
                      <w:hyperlink r:id="rId21" w:history="1">
                        <w:r w:rsidRPr="008C4C35">
                          <w:rPr>
                            <w:i/>
                            <w:iCs/>
                            <w:color w:val="44546A" w:themeColor="text2"/>
                            <w:sz w:val="18"/>
                            <w:szCs w:val="18"/>
                          </w:rPr>
                          <w:t>https://ourworldindata.org/grapher/solar-pv-prices</w:t>
                        </w:r>
                      </w:hyperlink>
                      <w:r>
                        <w:t xml:space="preserve"> </w:t>
                      </w:r>
                    </w:p>
                  </w:txbxContent>
                </v:textbox>
                <w10:wrap anchorx="margin"/>
              </v:shape>
            </w:pict>
          </mc:Fallback>
        </mc:AlternateContent>
      </w:r>
      <w:r w:rsidR="00FB38F3" w:rsidRPr="00E13FF4">
        <w:rPr>
          <w:rFonts w:asciiTheme="majorHAnsi" w:hAnsiTheme="majorHAnsi" w:cstheme="majorHAnsi"/>
          <w:lang w:val="pl-PL"/>
        </w:rPr>
        <w:br w:type="page"/>
      </w:r>
      <w:r w:rsidRPr="00E13FF4">
        <w:rPr>
          <w:rFonts w:asciiTheme="majorHAnsi" w:hAnsiTheme="majorHAnsi" w:cstheme="majorHAnsi"/>
          <w:sz w:val="20"/>
          <w:lang w:val="pl-PL"/>
        </w:rPr>
        <w:lastRenderedPageBreak/>
        <w:t xml:space="preserve"> DIAPOSITIVE 7</w:t>
      </w:r>
    </w:p>
    <w:p w14:paraId="7C9C0BC6" w14:textId="77777777" w:rsidR="00F527DA" w:rsidRPr="00E13FF4" w:rsidRDefault="00F527DA" w:rsidP="00F527DA">
      <w:pPr>
        <w:rPr>
          <w:rFonts w:asciiTheme="majorHAnsi" w:hAnsiTheme="majorHAnsi" w:cstheme="majorHAnsi"/>
          <w:sz w:val="20"/>
          <w:lang w:val="pl-PL"/>
        </w:rPr>
      </w:pPr>
      <w:r w:rsidRPr="00E13FF4">
        <w:rPr>
          <w:rFonts w:asciiTheme="majorHAnsi" w:hAnsiTheme="majorHAnsi" w:cstheme="majorHAnsi"/>
          <w:sz w:val="20"/>
          <w:lang w:val="pl-PL"/>
        </w:rPr>
        <w:t>Energia solare - occupazione e produzione</w:t>
      </w:r>
    </w:p>
    <w:p w14:paraId="097CA404" w14:textId="77777777" w:rsidR="00F527DA" w:rsidRPr="00E13FF4" w:rsidRDefault="00F527DA" w:rsidP="00F527DA">
      <w:pPr>
        <w:rPr>
          <w:rFonts w:asciiTheme="majorHAnsi" w:hAnsiTheme="majorHAnsi" w:cstheme="majorHAnsi"/>
          <w:sz w:val="20"/>
          <w:lang w:val="pl-PL"/>
        </w:rPr>
      </w:pPr>
    </w:p>
    <w:p w14:paraId="0DACF550" w14:textId="77777777" w:rsidR="00F527DA" w:rsidRPr="00E13FF4" w:rsidRDefault="00F527DA" w:rsidP="00F527DA">
      <w:pPr>
        <w:rPr>
          <w:rFonts w:asciiTheme="majorHAnsi" w:hAnsiTheme="majorHAnsi" w:cstheme="majorHAnsi"/>
          <w:sz w:val="20"/>
          <w:lang w:val="pl-PL"/>
        </w:rPr>
      </w:pPr>
      <w:r w:rsidRPr="00E13FF4">
        <w:rPr>
          <w:rFonts w:asciiTheme="majorHAnsi" w:hAnsiTheme="majorHAnsi" w:cstheme="majorHAnsi"/>
          <w:sz w:val="20"/>
          <w:lang w:val="pl-PL"/>
        </w:rPr>
        <w:t>Il solare fotovoltaico nel 2018 era direttamente correlato a circa 3,6 milioni di posti di lavoro. Ancora una volta, come in vari settori, la Cina è il più grande datore di lavoro con oltre il 60% di tutti i posti di lavoro nel settore solare nel mondo. La Cina non è solo il più grande mercato di installazione al mondo, ma anche un produttore leader di dispositivi fotovoltaici.</w:t>
      </w:r>
    </w:p>
    <w:p w14:paraId="3F4BB8F5" w14:textId="77777777" w:rsidR="00F527DA" w:rsidRPr="00E13FF4" w:rsidRDefault="00F527DA" w:rsidP="00F527DA">
      <w:pPr>
        <w:rPr>
          <w:rFonts w:asciiTheme="majorHAnsi" w:hAnsiTheme="majorHAnsi" w:cstheme="majorHAnsi"/>
          <w:sz w:val="20"/>
          <w:lang w:val="pl-PL"/>
        </w:rPr>
      </w:pPr>
    </w:p>
    <w:p w14:paraId="57036000" w14:textId="77777777" w:rsidR="00A37FDF" w:rsidRPr="00E13FF4" w:rsidRDefault="00DA1736" w:rsidP="00F527DA">
      <w:pPr>
        <w:rPr>
          <w:rFonts w:asciiTheme="majorHAnsi" w:hAnsiTheme="majorHAnsi" w:cstheme="majorHAnsi"/>
          <w:sz w:val="20"/>
          <w:lang w:val="pl-PL"/>
        </w:rPr>
      </w:pPr>
      <w:r w:rsidRPr="00E13FF4">
        <w:rPr>
          <w:rFonts w:asciiTheme="majorHAnsi" w:hAnsiTheme="majorHAnsi" w:cstheme="majorHAnsi"/>
          <w:sz w:val="20"/>
          <w:lang w:val="pl-PL"/>
        </w:rPr>
        <w:t>L'energia solare ha rappresentato il 7% dell'energia rinnovabile globale nel 2017, ma sta crescendo rapidamente a causa dei minori costi di installazione e produzione. L'Asia è la regione leader per la produzione di energia solare, con l'Europa al secondo posto.</w:t>
      </w:r>
    </w:p>
    <w:p w14:paraId="3786C767" w14:textId="77777777" w:rsidR="00DA1736" w:rsidRPr="00E13FF4" w:rsidRDefault="00DA1736" w:rsidP="00DA1736">
      <w:pPr>
        <w:rPr>
          <w:rFonts w:asciiTheme="majorHAnsi" w:hAnsiTheme="majorHAnsi" w:cstheme="majorHAnsi"/>
          <w:noProof/>
          <w:lang w:val="pl-PL"/>
        </w:rPr>
      </w:pPr>
    </w:p>
    <w:p w14:paraId="489C875E" w14:textId="77777777" w:rsidR="00DA1736" w:rsidRPr="00E13FF4" w:rsidRDefault="00DA1736" w:rsidP="00DA1736">
      <w:pPr>
        <w:rPr>
          <w:rFonts w:asciiTheme="majorHAnsi" w:hAnsiTheme="majorHAnsi" w:cstheme="majorHAnsi"/>
          <w:noProof/>
          <w:lang w:val="pl-PL"/>
        </w:rPr>
      </w:pPr>
      <w:r w:rsidRPr="00E13FF4">
        <w:rPr>
          <w:rFonts w:asciiTheme="majorHAnsi" w:hAnsiTheme="majorHAnsi" w:cstheme="majorHAnsi"/>
          <w:noProof/>
          <w:lang w:val="pl-PL"/>
        </w:rPr>
        <w:t>SLIDE 8</w:t>
      </w:r>
    </w:p>
    <w:p w14:paraId="38020FE5" w14:textId="77777777" w:rsidR="00DA1736" w:rsidRPr="00E13FF4" w:rsidRDefault="00DA1736" w:rsidP="00DA1736">
      <w:pPr>
        <w:rPr>
          <w:rFonts w:asciiTheme="majorHAnsi" w:hAnsiTheme="majorHAnsi" w:cstheme="majorHAnsi"/>
          <w:noProof/>
          <w:lang w:val="pl-PL"/>
        </w:rPr>
      </w:pPr>
      <w:r w:rsidRPr="00E13FF4">
        <w:rPr>
          <w:rFonts w:asciiTheme="majorHAnsi" w:hAnsiTheme="majorHAnsi" w:cstheme="majorHAnsi"/>
          <w:noProof/>
          <w:lang w:val="pl-PL"/>
        </w:rPr>
        <w:t xml:space="preserve">Bioenergia </w:t>
      </w:r>
    </w:p>
    <w:p w14:paraId="42288980" w14:textId="77777777" w:rsidR="00DA1736" w:rsidRPr="00E13FF4" w:rsidRDefault="00DA1736" w:rsidP="00DA1736">
      <w:pPr>
        <w:rPr>
          <w:rFonts w:asciiTheme="majorHAnsi" w:hAnsiTheme="majorHAnsi" w:cstheme="majorHAnsi"/>
          <w:noProof/>
          <w:lang w:val="pl-PL"/>
        </w:rPr>
      </w:pPr>
      <w:r w:rsidRPr="00E13FF4">
        <w:rPr>
          <w:rFonts w:asciiTheme="majorHAnsi" w:hAnsiTheme="majorHAnsi" w:cstheme="majorHAnsi"/>
          <w:noProof/>
          <w:lang w:val="pl-PL"/>
        </w:rPr>
        <w:t>L'uso della bioenergia può essere suddiviso in due categorie principali: "tradizionale" e "moderno". L'uso tradizionale si riferisce alla combustione di biomasse in forme come il legno, i rifiuti animali e il carbone tradizionale. Le moderne tecnologie bioenergetiche includono biocarburanti liquidi a base di bagassa di canna da zucchero e altre piante; bioraffinerie; biogas dalla decomposizione anaerobica dei residui; impianti di riscaldamento a pellet di legno; e altre tecnologie.</w:t>
      </w:r>
      <w:r w:rsidRPr="00E13FF4">
        <w:rPr>
          <w:rFonts w:asciiTheme="majorHAnsi" w:hAnsiTheme="majorHAnsi" w:cstheme="majorHAnsi"/>
          <w:sz w:val="20"/>
          <w:lang w:val="pl-PL"/>
        </w:rPr>
        <w:t xml:space="preserve"> .</w:t>
      </w:r>
      <w:r w:rsidRPr="00E13FF4">
        <w:rPr>
          <w:rStyle w:val="Odwoanieprzypisudolnego"/>
          <w:rFonts w:asciiTheme="majorHAnsi" w:hAnsiTheme="majorHAnsi" w:cstheme="majorHAnsi"/>
          <w:sz w:val="20"/>
        </w:rPr>
        <w:footnoteReference w:id="5"/>
      </w:r>
    </w:p>
    <w:p w14:paraId="282FCE04" w14:textId="77777777" w:rsidR="00DA1736" w:rsidRPr="00E13FF4" w:rsidRDefault="00DA1736" w:rsidP="00DA1736">
      <w:pPr>
        <w:rPr>
          <w:rFonts w:asciiTheme="majorHAnsi" w:hAnsiTheme="majorHAnsi" w:cstheme="majorHAnsi"/>
          <w:noProof/>
          <w:lang w:val="pl-PL"/>
        </w:rPr>
      </w:pPr>
    </w:p>
    <w:p w14:paraId="4CFF331D" w14:textId="77777777" w:rsidR="003D3F4D" w:rsidRPr="00E13FF4" w:rsidRDefault="00DA1736" w:rsidP="00DA1736">
      <w:pPr>
        <w:rPr>
          <w:rFonts w:asciiTheme="majorHAnsi" w:hAnsiTheme="majorHAnsi" w:cstheme="majorHAnsi"/>
          <w:sz w:val="20"/>
          <w:lang w:val="pl-PL"/>
        </w:rPr>
      </w:pPr>
      <w:r w:rsidRPr="00E13FF4">
        <w:rPr>
          <w:rFonts w:asciiTheme="majorHAnsi" w:hAnsiTheme="majorHAnsi" w:cstheme="majorHAnsi"/>
          <w:noProof/>
          <w:lang w:val="pl-PL"/>
        </w:rPr>
        <w:t>La maggior parte della bioenergia proviene da foreste, fattorie e rifiuti. Le materie prime vengono coltivate da aziende agricole specificatamente per essere utilizzate come fonte di energia. Le colture comuni includono amido o colture a base di zucchero come la canna da zucchero o il mais.</w:t>
      </w:r>
      <w:r w:rsidRPr="00E13FF4">
        <w:rPr>
          <w:rFonts w:asciiTheme="majorHAnsi" w:hAnsiTheme="majorHAnsi" w:cstheme="majorHAnsi"/>
          <w:sz w:val="20"/>
          <w:lang w:val="pl-PL"/>
        </w:rPr>
        <w:t xml:space="preserve"> .</w:t>
      </w:r>
      <w:r w:rsidRPr="00E13FF4">
        <w:rPr>
          <w:rStyle w:val="Odwoanieprzypisudolnego"/>
          <w:rFonts w:asciiTheme="majorHAnsi" w:hAnsiTheme="majorHAnsi" w:cstheme="majorHAnsi"/>
          <w:sz w:val="20"/>
        </w:rPr>
        <w:footnoteReference w:id="6"/>
      </w:r>
    </w:p>
    <w:p w14:paraId="7558BA32" w14:textId="77777777" w:rsidR="00DA1736" w:rsidRPr="00E13FF4" w:rsidRDefault="00DA1736" w:rsidP="00DA1736">
      <w:pPr>
        <w:rPr>
          <w:rFonts w:asciiTheme="majorHAnsi" w:hAnsiTheme="majorHAnsi" w:cstheme="majorHAnsi"/>
          <w:noProof/>
          <w:lang w:val="pl-PL"/>
        </w:rPr>
      </w:pPr>
    </w:p>
    <w:p w14:paraId="67EC081F" w14:textId="77777777" w:rsidR="00DA1736" w:rsidRPr="00E13FF4" w:rsidRDefault="00DA1736" w:rsidP="00DA1736">
      <w:pPr>
        <w:rPr>
          <w:rFonts w:asciiTheme="majorHAnsi" w:hAnsiTheme="majorHAnsi" w:cstheme="majorHAnsi"/>
          <w:noProof/>
          <w:lang w:val="pl-PL"/>
        </w:rPr>
      </w:pPr>
      <w:r w:rsidRPr="00E13FF4">
        <w:rPr>
          <w:rFonts w:asciiTheme="majorHAnsi" w:hAnsiTheme="majorHAnsi" w:cstheme="majorHAnsi"/>
          <w:noProof/>
          <w:lang w:val="pl-PL"/>
        </w:rPr>
        <w:t>DIAPOSITIVE 9</w:t>
      </w:r>
    </w:p>
    <w:p w14:paraId="6500861E" w14:textId="77777777" w:rsidR="00DA1736" w:rsidRPr="00E13FF4" w:rsidRDefault="00DA1736" w:rsidP="00DA1736">
      <w:pPr>
        <w:rPr>
          <w:rFonts w:asciiTheme="majorHAnsi" w:hAnsiTheme="majorHAnsi" w:cstheme="majorHAnsi"/>
          <w:noProof/>
          <w:lang w:val="pl-PL"/>
        </w:rPr>
      </w:pPr>
      <w:r w:rsidRPr="00E13FF4">
        <w:rPr>
          <w:rFonts w:asciiTheme="majorHAnsi" w:hAnsiTheme="majorHAnsi" w:cstheme="majorHAnsi"/>
          <w:noProof/>
          <w:lang w:val="pl-PL"/>
        </w:rPr>
        <w:t>Bioenergia: occupazione e produzione</w:t>
      </w:r>
    </w:p>
    <w:p w14:paraId="60262C93" w14:textId="77777777" w:rsidR="00DA1736" w:rsidRPr="00E13FF4" w:rsidRDefault="00DA1736" w:rsidP="00DA1736">
      <w:pPr>
        <w:rPr>
          <w:rFonts w:asciiTheme="majorHAnsi" w:hAnsiTheme="majorHAnsi" w:cstheme="majorHAnsi"/>
          <w:noProof/>
          <w:lang w:val="pl-PL"/>
        </w:rPr>
      </w:pPr>
    </w:p>
    <w:p w14:paraId="3388F106" w14:textId="77777777" w:rsidR="002034F6" w:rsidRPr="00E13FF4" w:rsidRDefault="00DA1736" w:rsidP="00DA1736">
      <w:pPr>
        <w:rPr>
          <w:rFonts w:asciiTheme="majorHAnsi" w:hAnsiTheme="majorHAnsi" w:cstheme="majorHAnsi"/>
          <w:noProof/>
          <w:lang w:val="pl-PL"/>
        </w:rPr>
      </w:pPr>
      <w:r w:rsidRPr="00E13FF4">
        <w:rPr>
          <w:rFonts w:asciiTheme="majorHAnsi" w:hAnsiTheme="majorHAnsi" w:cstheme="majorHAnsi"/>
          <w:noProof/>
          <w:lang w:val="pl-PL"/>
        </w:rPr>
        <w:t>Secondo il database IRENA, la bioenergia più comune è la biomassa solida. Il settore delle bioenergie è responsabile dell'8% del totale delle energie rinnovabili. Il tasso di crescita medio dal 2011 è rimasto all'8% annuo ed è sulla buona strada per soddisfare lo scenario di sviluppo sostenibile nel 2030.</w:t>
      </w:r>
    </w:p>
    <w:p w14:paraId="2793430E" w14:textId="77777777" w:rsidR="00DA1736" w:rsidRPr="00E13FF4" w:rsidRDefault="00DA1736">
      <w:pPr>
        <w:rPr>
          <w:rFonts w:asciiTheme="majorHAnsi" w:hAnsiTheme="majorHAnsi" w:cstheme="majorHAnsi"/>
          <w:sz w:val="20"/>
          <w:lang w:val="pl-PL"/>
        </w:rPr>
      </w:pPr>
      <w:r w:rsidRPr="00E13FF4">
        <w:rPr>
          <w:rFonts w:asciiTheme="majorHAnsi" w:hAnsiTheme="majorHAnsi" w:cstheme="majorHAnsi"/>
          <w:sz w:val="20"/>
          <w:lang w:val="pl-PL"/>
        </w:rPr>
        <w:br w:type="page"/>
      </w:r>
    </w:p>
    <w:p w14:paraId="57803BB0" w14:textId="77777777" w:rsidR="00835784" w:rsidRPr="00E13FF4" w:rsidRDefault="00835784">
      <w:pPr>
        <w:rPr>
          <w:rFonts w:asciiTheme="majorHAnsi" w:hAnsiTheme="majorHAnsi" w:cstheme="majorHAnsi"/>
          <w:sz w:val="20"/>
          <w:lang w:val="pl-PL"/>
        </w:rPr>
      </w:pPr>
      <w:r w:rsidRPr="00E13FF4">
        <w:rPr>
          <w:rFonts w:asciiTheme="majorHAnsi" w:hAnsiTheme="majorHAnsi" w:cstheme="majorHAnsi"/>
          <w:noProof/>
          <w:lang w:eastAsia="en-GB"/>
        </w:rPr>
        <w:lastRenderedPageBreak/>
        <w:drawing>
          <wp:anchor distT="0" distB="0" distL="114300" distR="114300" simplePos="0" relativeHeight="251778048" behindDoc="0" locked="0" layoutInCell="1" allowOverlap="1" wp14:anchorId="26D28EC2" wp14:editId="76BB60BF">
            <wp:simplePos x="0" y="0"/>
            <wp:positionH relativeFrom="column">
              <wp:posOffset>0</wp:posOffset>
            </wp:positionH>
            <wp:positionV relativeFrom="paragraph">
              <wp:posOffset>2011</wp:posOffset>
            </wp:positionV>
            <wp:extent cx="4572000" cy="2743200"/>
            <wp:effectExtent l="0" t="0" r="0" b="0"/>
            <wp:wrapNone/>
            <wp:docPr id="82" name="Chart 82">
              <a:extLst xmlns:a="http://schemas.openxmlformats.org/drawingml/2006/main">
                <a:ext uri="{FF2B5EF4-FFF2-40B4-BE49-F238E27FC236}">
                  <a16:creationId xmlns:a16="http://schemas.microsoft.com/office/drawing/2014/main" id="{1DDC3E23-E4DE-41D0-9BFB-DD74A41FA4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anchor>
        </w:drawing>
      </w:r>
    </w:p>
    <w:p w14:paraId="6D7EB357" w14:textId="77777777" w:rsidR="00DA1736" w:rsidRPr="00E13FF4" w:rsidRDefault="00835784" w:rsidP="00DA1736">
      <w:pPr>
        <w:rPr>
          <w:rFonts w:asciiTheme="majorHAnsi" w:hAnsiTheme="majorHAnsi" w:cstheme="majorHAnsi"/>
          <w:sz w:val="20"/>
          <w:lang w:val="pl-PL"/>
        </w:rPr>
      </w:pPr>
      <w:r w:rsidRPr="00E13FF4">
        <w:rPr>
          <w:rFonts w:asciiTheme="majorHAnsi" w:hAnsiTheme="majorHAnsi" w:cstheme="majorHAnsi"/>
          <w:noProof/>
          <w:sz w:val="20"/>
          <w:lang w:eastAsia="en-GB"/>
        </w:rPr>
        <mc:AlternateContent>
          <mc:Choice Requires="wps">
            <w:drawing>
              <wp:anchor distT="0" distB="0" distL="114300" distR="114300" simplePos="0" relativeHeight="251780096" behindDoc="0" locked="0" layoutInCell="1" allowOverlap="1" wp14:anchorId="0D7B690A" wp14:editId="52795C9A">
                <wp:simplePos x="0" y="0"/>
                <wp:positionH relativeFrom="column">
                  <wp:posOffset>0</wp:posOffset>
                </wp:positionH>
                <wp:positionV relativeFrom="paragraph">
                  <wp:posOffset>2466036</wp:posOffset>
                </wp:positionV>
                <wp:extent cx="5264150" cy="327704"/>
                <wp:effectExtent l="0" t="0" r="0" b="0"/>
                <wp:wrapNone/>
                <wp:docPr id="83" name="Text Box 83"/>
                <wp:cNvGraphicFramePr/>
                <a:graphic xmlns:a="http://schemas.openxmlformats.org/drawingml/2006/main">
                  <a:graphicData uri="http://schemas.microsoft.com/office/word/2010/wordprocessingShape">
                    <wps:wsp>
                      <wps:cNvSpPr txBox="1"/>
                      <wps:spPr>
                        <a:xfrm>
                          <a:off x="0" y="0"/>
                          <a:ext cx="5264150" cy="327704"/>
                        </a:xfrm>
                        <a:prstGeom prst="rect">
                          <a:avLst/>
                        </a:prstGeom>
                        <a:solidFill>
                          <a:prstClr val="white"/>
                        </a:solidFill>
                        <a:ln>
                          <a:noFill/>
                        </a:ln>
                      </wps:spPr>
                      <wps:txbx>
                        <w:txbxContent>
                          <w:p w14:paraId="3AF70AB4" w14:textId="77777777" w:rsidR="00835784" w:rsidRDefault="00835784" w:rsidP="00835784">
                            <w:pPr>
                              <w:pStyle w:val="Legenda"/>
                              <w:spacing w:after="0"/>
                            </w:pPr>
                            <w:r>
                              <w:t>Figura 8. Produzione di biocarburanti per regione</w:t>
                            </w:r>
                          </w:p>
                          <w:p w14:paraId="326265DF" w14:textId="77777777" w:rsidR="00835784" w:rsidRPr="00644A02" w:rsidRDefault="00835784" w:rsidP="00835784">
                            <w:pPr>
                              <w:spacing w:after="0"/>
                            </w:pPr>
                            <w:r w:rsidRPr="00644A02">
                              <w:rPr>
                                <w:i/>
                                <w:iCs/>
                                <w:color w:val="44546A" w:themeColor="text2"/>
                                <w:sz w:val="18"/>
                                <w:szCs w:val="18"/>
                              </w:rPr>
                              <w:t xml:space="preserve">Fonte: </w:t>
                            </w:r>
                            <w:hyperlink r:id="rId23" w:history="1">
                              <w:r w:rsidRPr="00835784">
                                <w:rPr>
                                  <w:i/>
                                  <w:iCs/>
                                  <w:color w:val="44546A" w:themeColor="text2"/>
                                  <w:sz w:val="18"/>
                                  <w:szCs w:val="18"/>
                                </w:rPr>
                                <w:t>https://ourworldindata.org/renewable-energy</w:t>
                              </w:r>
                            </w:hyperlink>
                            <w:r w:rsidRPr="00835784">
                              <w:rPr>
                                <w:i/>
                                <w:iCs/>
                                <w:color w:val="44546A" w:themeColor="text2"/>
                                <w:sz w:val="18"/>
                                <w:szCs w:val="18"/>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D7B690A" id="Text Box 83" o:spid="_x0000_s1032" type="#_x0000_t202" style="position:absolute;margin-left:0;margin-top:194.2pt;width:414.5pt;height:25.8pt;z-index:251780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" stroked="f">
                <v:textbox inset="0,0,0,0">
                  <w:txbxContent>
                    <w:p w14:paraId="3AF70AB4" w14:textId="77777777" w:rsidR="00835784" w:rsidRDefault="00835784" w:rsidP="00835784">
                      <w:pPr>
                        <w:pStyle w:val="Legenda"/>
                        <w:spacing w:after="0"/>
                      </w:pPr>
                      <w:r>
                        <w:t>Figura 8. Produzione di biocarburanti per regione</w:t>
                      </w:r>
                    </w:p>
                    <w:p w14:paraId="326265DF" w14:textId="77777777" w:rsidR="00835784" w:rsidRPr="00644A02" w:rsidRDefault="00835784" w:rsidP="00835784">
                      <w:pPr>
                        <w:spacing w:after="0"/>
                      </w:pPr>
                      <w:r w:rsidRPr="00644A02">
                        <w:rPr>
                          <w:i/>
                          <w:iCs/>
                          <w:color w:val="44546A" w:themeColor="text2"/>
                          <w:sz w:val="18"/>
                          <w:szCs w:val="18"/>
                        </w:rPr>
                        <w:t xml:space="preserve">Fonte: </w:t>
                      </w:r>
                      <w:hyperlink r:id="rId24" w:history="1">
                        <w:r w:rsidRPr="00835784">
                          <w:rPr>
                            <w:i/>
                            <w:iCs/>
                            <w:color w:val="44546A" w:themeColor="text2"/>
                            <w:sz w:val="18"/>
                            <w:szCs w:val="18"/>
                          </w:rPr>
                          <w:t>https://ourworldindata.org/renewable-energy</w:t>
                        </w:r>
                      </w:hyperlink>
                      <w:r w:rsidRPr="00835784">
                        <w:rPr>
                          <w:i/>
                          <w:iCs/>
                          <w:color w:val="44546A" w:themeColor="text2"/>
                          <w:sz w:val="18"/>
                          <w:szCs w:val="18"/>
                        </w:rPr>
                        <w:t xml:space="preserve"> </w:t>
                      </w:r>
                    </w:p>
                  </w:txbxContent>
                </v:textbox>
              </v:shape>
            </w:pict>
          </mc:Fallback>
        </mc:AlternateContent>
      </w:r>
    </w:p>
    <w:p w14:paraId="30B2F9BB" w14:textId="77777777" w:rsidR="00DA1736" w:rsidRPr="00E13FF4" w:rsidRDefault="00DA1736" w:rsidP="00DA1736">
      <w:pPr>
        <w:rPr>
          <w:rFonts w:asciiTheme="majorHAnsi" w:hAnsiTheme="majorHAnsi" w:cstheme="majorHAnsi"/>
          <w:sz w:val="20"/>
          <w:lang w:val="pl-PL"/>
        </w:rPr>
      </w:pPr>
    </w:p>
    <w:p w14:paraId="5D234EC7" w14:textId="77777777" w:rsidR="00DA1736" w:rsidRPr="00E13FF4" w:rsidRDefault="00DA1736" w:rsidP="00DA1736">
      <w:pPr>
        <w:rPr>
          <w:rFonts w:asciiTheme="majorHAnsi" w:hAnsiTheme="majorHAnsi" w:cstheme="majorHAnsi"/>
          <w:sz w:val="20"/>
          <w:lang w:val="pl-PL"/>
        </w:rPr>
      </w:pPr>
    </w:p>
    <w:p w14:paraId="2E920BF3" w14:textId="77777777" w:rsidR="00DA1736" w:rsidRPr="00E13FF4" w:rsidRDefault="00DA1736" w:rsidP="00DA1736">
      <w:pPr>
        <w:rPr>
          <w:rFonts w:asciiTheme="majorHAnsi" w:hAnsiTheme="majorHAnsi" w:cstheme="majorHAnsi"/>
          <w:sz w:val="20"/>
          <w:lang w:val="pl-PL"/>
        </w:rPr>
      </w:pPr>
    </w:p>
    <w:p w14:paraId="33E13315" w14:textId="77777777" w:rsidR="00DA1736" w:rsidRPr="00E13FF4" w:rsidRDefault="00DA1736" w:rsidP="00DA1736">
      <w:pPr>
        <w:rPr>
          <w:rFonts w:asciiTheme="majorHAnsi" w:hAnsiTheme="majorHAnsi" w:cstheme="majorHAnsi"/>
          <w:sz w:val="20"/>
          <w:lang w:val="pl-PL"/>
        </w:rPr>
      </w:pPr>
    </w:p>
    <w:p w14:paraId="6171833F" w14:textId="77777777" w:rsidR="00DA1736" w:rsidRPr="00E13FF4" w:rsidRDefault="00DA1736" w:rsidP="00DA1736">
      <w:pPr>
        <w:rPr>
          <w:rFonts w:asciiTheme="majorHAnsi" w:hAnsiTheme="majorHAnsi" w:cstheme="majorHAnsi"/>
          <w:sz w:val="20"/>
          <w:lang w:val="pl-PL"/>
        </w:rPr>
      </w:pPr>
    </w:p>
    <w:p w14:paraId="5AC4E0D3" w14:textId="77777777" w:rsidR="00DA1736" w:rsidRPr="00E13FF4" w:rsidRDefault="00DA1736" w:rsidP="00DA1736">
      <w:pPr>
        <w:rPr>
          <w:rFonts w:asciiTheme="majorHAnsi" w:hAnsiTheme="majorHAnsi" w:cstheme="majorHAnsi"/>
          <w:sz w:val="20"/>
          <w:lang w:val="pl-PL"/>
        </w:rPr>
      </w:pPr>
    </w:p>
    <w:p w14:paraId="4DF1EFCB" w14:textId="77777777" w:rsidR="00DA1736" w:rsidRPr="00E13FF4" w:rsidRDefault="00DA1736" w:rsidP="00DA1736">
      <w:pPr>
        <w:rPr>
          <w:rFonts w:asciiTheme="majorHAnsi" w:hAnsiTheme="majorHAnsi" w:cstheme="majorHAnsi"/>
          <w:sz w:val="20"/>
          <w:lang w:val="pl-PL"/>
        </w:rPr>
      </w:pPr>
    </w:p>
    <w:p w14:paraId="55892339" w14:textId="77777777" w:rsidR="00DA1736" w:rsidRPr="00E13FF4" w:rsidRDefault="00DA1736" w:rsidP="00DA1736">
      <w:pPr>
        <w:rPr>
          <w:rFonts w:asciiTheme="majorHAnsi" w:hAnsiTheme="majorHAnsi" w:cstheme="majorHAnsi"/>
          <w:sz w:val="20"/>
          <w:lang w:val="pl-PL"/>
        </w:rPr>
      </w:pPr>
    </w:p>
    <w:p w14:paraId="091931CE" w14:textId="77777777" w:rsidR="00DA1736" w:rsidRPr="00E13FF4" w:rsidRDefault="00DA1736" w:rsidP="00DA1736">
      <w:pPr>
        <w:rPr>
          <w:rFonts w:asciiTheme="majorHAnsi" w:hAnsiTheme="majorHAnsi" w:cstheme="majorHAnsi"/>
          <w:sz w:val="20"/>
          <w:lang w:val="pl-PL"/>
        </w:rPr>
      </w:pPr>
    </w:p>
    <w:p w14:paraId="26985520" w14:textId="77777777" w:rsidR="00DA1736" w:rsidRPr="00E13FF4" w:rsidRDefault="00DA1736" w:rsidP="00DA1736">
      <w:pPr>
        <w:rPr>
          <w:rFonts w:asciiTheme="majorHAnsi" w:hAnsiTheme="majorHAnsi" w:cstheme="majorHAnsi"/>
          <w:sz w:val="20"/>
          <w:lang w:val="pl-PL"/>
        </w:rPr>
      </w:pPr>
    </w:p>
    <w:p w14:paraId="3D066353" w14:textId="77777777" w:rsidR="00DA1736" w:rsidRPr="00E13FF4" w:rsidRDefault="00DA1736" w:rsidP="00DA1736">
      <w:pPr>
        <w:rPr>
          <w:rFonts w:asciiTheme="majorHAnsi" w:hAnsiTheme="majorHAnsi" w:cstheme="majorHAnsi"/>
          <w:sz w:val="20"/>
          <w:lang w:val="pl-PL"/>
        </w:rPr>
      </w:pPr>
      <w:r w:rsidRPr="00E13FF4">
        <w:rPr>
          <w:rFonts w:asciiTheme="majorHAnsi" w:hAnsiTheme="majorHAnsi" w:cstheme="majorHAnsi"/>
          <w:sz w:val="20"/>
          <w:lang w:val="pl-PL"/>
        </w:rPr>
        <w:t>SLIDE 10</w:t>
      </w:r>
    </w:p>
    <w:p w14:paraId="391D318F" w14:textId="77777777" w:rsidR="00DA1736" w:rsidRPr="00E13FF4" w:rsidRDefault="00DA1736" w:rsidP="00DA1736">
      <w:pPr>
        <w:rPr>
          <w:rFonts w:asciiTheme="majorHAnsi" w:hAnsiTheme="majorHAnsi" w:cstheme="majorHAnsi"/>
          <w:sz w:val="20"/>
          <w:lang w:val="pl-PL"/>
        </w:rPr>
      </w:pPr>
      <w:r w:rsidRPr="00E13FF4">
        <w:rPr>
          <w:rFonts w:asciiTheme="majorHAnsi" w:hAnsiTheme="majorHAnsi" w:cstheme="majorHAnsi"/>
          <w:sz w:val="20"/>
          <w:lang w:val="pl-PL"/>
        </w:rPr>
        <w:t xml:space="preserve">Energia geotermica </w:t>
      </w:r>
    </w:p>
    <w:p w14:paraId="3002FC96" w14:textId="77777777" w:rsidR="00DA1736" w:rsidRPr="00E13FF4" w:rsidRDefault="00DA1736" w:rsidP="00DA1736">
      <w:pPr>
        <w:rPr>
          <w:rFonts w:asciiTheme="majorHAnsi" w:hAnsiTheme="majorHAnsi" w:cstheme="majorHAnsi"/>
          <w:sz w:val="20"/>
          <w:lang w:val="pl-PL"/>
        </w:rPr>
      </w:pPr>
    </w:p>
    <w:p w14:paraId="7DA0E4D3" w14:textId="77777777" w:rsidR="00DA1736" w:rsidRPr="00E13FF4" w:rsidRDefault="00DA1736" w:rsidP="00DA1736">
      <w:pPr>
        <w:rPr>
          <w:rFonts w:asciiTheme="majorHAnsi" w:hAnsiTheme="majorHAnsi" w:cstheme="majorHAnsi"/>
          <w:sz w:val="20"/>
          <w:lang w:val="pl-PL"/>
        </w:rPr>
      </w:pPr>
      <w:r w:rsidRPr="00E13FF4">
        <w:rPr>
          <w:rFonts w:asciiTheme="majorHAnsi" w:hAnsiTheme="majorHAnsi" w:cstheme="majorHAnsi"/>
          <w:sz w:val="20"/>
          <w:lang w:val="pl-PL"/>
        </w:rPr>
        <w:t>Le risorse geotermiche sono serbatoi di acqua calda che si verificano a diverse temperature ea diverse profondità sotto la superficie terrestre. A chilometri di profondità o anche più in profondità, i pozzi possono essere perforati in serbatoi interrati per estrarre vapore e acqua molto calda che possono essere portati in superficie per generare elettricità, utilizzare direttamente e riscaldare e raffreddare.</w:t>
      </w:r>
      <w:r w:rsidRPr="00E13FF4">
        <w:rPr>
          <w:rStyle w:val="Odwoanieprzypisudolnego"/>
          <w:rFonts w:asciiTheme="majorHAnsi" w:hAnsiTheme="majorHAnsi" w:cstheme="majorHAnsi"/>
          <w:sz w:val="20"/>
        </w:rPr>
        <w:footnoteReference w:id="7"/>
      </w:r>
    </w:p>
    <w:p w14:paraId="207766CB" w14:textId="77777777" w:rsidR="00C936A4" w:rsidRPr="00E13FF4" w:rsidRDefault="00C936A4" w:rsidP="00C936A4">
      <w:pPr>
        <w:rPr>
          <w:rFonts w:asciiTheme="majorHAnsi" w:hAnsiTheme="majorHAnsi" w:cstheme="majorHAnsi"/>
          <w:sz w:val="20"/>
          <w:lang w:val="pl-PL"/>
        </w:rPr>
      </w:pPr>
      <w:r w:rsidRPr="00E13FF4">
        <w:rPr>
          <w:rFonts w:asciiTheme="majorHAnsi" w:hAnsiTheme="majorHAnsi" w:cstheme="majorHAnsi"/>
          <w:sz w:val="20"/>
          <w:lang w:val="pl-PL"/>
        </w:rPr>
        <w:t>Vantaggi principali:</w:t>
      </w:r>
      <w:r w:rsidRPr="00E13FF4">
        <w:rPr>
          <w:rStyle w:val="Odwoanieprzypisudolnego"/>
          <w:rFonts w:asciiTheme="majorHAnsi" w:hAnsiTheme="majorHAnsi" w:cstheme="majorHAnsi"/>
          <w:sz w:val="20"/>
        </w:rPr>
        <w:footnoteReference w:id="8"/>
      </w:r>
    </w:p>
    <w:p w14:paraId="1FAF4234" w14:textId="77777777" w:rsidR="00C936A4" w:rsidRPr="00E13FF4" w:rsidRDefault="00C936A4" w:rsidP="00C936A4">
      <w:pPr>
        <w:rPr>
          <w:rFonts w:asciiTheme="majorHAnsi" w:hAnsiTheme="majorHAnsi" w:cstheme="majorHAnsi"/>
          <w:sz w:val="20"/>
          <w:lang w:val="pl-PL"/>
        </w:rPr>
      </w:pPr>
      <w:r w:rsidRPr="00E13FF4">
        <w:rPr>
          <w:rFonts w:asciiTheme="majorHAnsi" w:hAnsiTheme="majorHAnsi" w:cstheme="majorHAnsi"/>
          <w:sz w:val="20"/>
          <w:lang w:val="pl-PL"/>
        </w:rPr>
        <w:t>• Rinnovabile - Con una corretta gestione dell'accumulo, la velocità di estrazione dell'energia può essere bilanciata dal fattore di carico termico naturale dal serbatoio.</w:t>
      </w:r>
    </w:p>
    <w:p w14:paraId="218B912B" w14:textId="77777777" w:rsidR="00C936A4" w:rsidRPr="00E13FF4" w:rsidRDefault="00C936A4" w:rsidP="00C936A4">
      <w:pPr>
        <w:rPr>
          <w:rFonts w:asciiTheme="majorHAnsi" w:hAnsiTheme="majorHAnsi" w:cstheme="majorHAnsi"/>
          <w:sz w:val="20"/>
          <w:lang w:val="pl-PL"/>
        </w:rPr>
      </w:pPr>
      <w:r w:rsidRPr="00E13FF4">
        <w:rPr>
          <w:rFonts w:asciiTheme="majorHAnsi" w:hAnsiTheme="majorHAnsi" w:cstheme="majorHAnsi"/>
          <w:sz w:val="20"/>
          <w:lang w:val="pl-PL"/>
        </w:rPr>
        <w:t>• Carico di base: le centrali geotermiche producono elettricità in modo continuo, funzionando 24 ore al giorno / 7 giorni alla settimana, indipendentemente dalle condizioni meteorologiche.</w:t>
      </w:r>
    </w:p>
    <w:p w14:paraId="024CF504" w14:textId="77777777" w:rsidR="00C936A4" w:rsidRPr="00E13FF4" w:rsidRDefault="00C936A4" w:rsidP="00C936A4">
      <w:pPr>
        <w:rPr>
          <w:rFonts w:asciiTheme="majorHAnsi" w:hAnsiTheme="majorHAnsi" w:cstheme="majorHAnsi"/>
          <w:sz w:val="20"/>
          <w:lang w:val="pl-PL"/>
        </w:rPr>
      </w:pPr>
      <w:r w:rsidRPr="00E13FF4">
        <w:rPr>
          <w:rFonts w:asciiTheme="majorHAnsi" w:hAnsiTheme="majorHAnsi" w:cstheme="majorHAnsi"/>
          <w:sz w:val="20"/>
          <w:lang w:val="pl-PL"/>
        </w:rPr>
        <w:t>• Ingombro ridotto: le centrali geotermiche utilizzano meno terreno per GWh rispetto alle centrali a carbone, eoliche e solari</w:t>
      </w:r>
    </w:p>
    <w:p w14:paraId="5D605E7D" w14:textId="77777777" w:rsidR="00C936A4" w:rsidRPr="00E13FF4" w:rsidRDefault="00C936A4" w:rsidP="00C936A4">
      <w:pPr>
        <w:rPr>
          <w:rFonts w:asciiTheme="majorHAnsi" w:hAnsiTheme="majorHAnsi" w:cstheme="majorHAnsi"/>
          <w:sz w:val="20"/>
          <w:lang w:val="pl-PL"/>
        </w:rPr>
      </w:pPr>
      <w:r w:rsidRPr="00E13FF4">
        <w:rPr>
          <w:rFonts w:asciiTheme="majorHAnsi" w:hAnsiTheme="majorHAnsi" w:cstheme="majorHAnsi"/>
          <w:sz w:val="20"/>
          <w:lang w:val="pl-PL"/>
        </w:rPr>
        <w:t>• Pulito: le moderne centrali geotermiche a circuito chiuso non emettono gas a effetto serra</w:t>
      </w:r>
    </w:p>
    <w:p w14:paraId="5515B88E" w14:textId="77777777" w:rsidR="00C936A4" w:rsidRPr="00E13FF4" w:rsidRDefault="00C936A4" w:rsidP="00C936A4">
      <w:pPr>
        <w:spacing w:after="0"/>
        <w:rPr>
          <w:rFonts w:asciiTheme="majorHAnsi" w:hAnsiTheme="majorHAnsi" w:cstheme="majorHAnsi"/>
          <w:sz w:val="20"/>
          <w:lang w:val="pl-PL"/>
        </w:rPr>
      </w:pPr>
    </w:p>
    <w:p w14:paraId="3D55F395" w14:textId="77777777" w:rsidR="00C936A4" w:rsidRPr="00E13FF4" w:rsidRDefault="00C936A4" w:rsidP="00C936A4">
      <w:pPr>
        <w:spacing w:after="0"/>
        <w:rPr>
          <w:rFonts w:asciiTheme="majorHAnsi" w:hAnsiTheme="majorHAnsi" w:cstheme="majorHAnsi"/>
          <w:sz w:val="20"/>
          <w:lang w:val="pl-PL"/>
        </w:rPr>
      </w:pPr>
      <w:r w:rsidRPr="00E13FF4">
        <w:rPr>
          <w:rFonts w:asciiTheme="majorHAnsi" w:hAnsiTheme="majorHAnsi" w:cstheme="majorHAnsi"/>
          <w:sz w:val="20"/>
          <w:lang w:val="pl-PL"/>
        </w:rPr>
        <w:t>Per produrre elettricità, hai bisogno di fluido, calore e permeabilità. Le risorse idrotermali convenzionali contengono naturalmente tutti e tre i componenti. Questi tipi di sistemi geotermici possono esistere in un'ampia varietà di condizioni geologiche, a volte senza apparente manifestazione di risorse superficiali.</w:t>
      </w:r>
    </w:p>
    <w:p w14:paraId="256E665C" w14:textId="77777777" w:rsidR="00C936A4" w:rsidRPr="00E13FF4" w:rsidRDefault="00C936A4" w:rsidP="00C936A4">
      <w:pPr>
        <w:spacing w:after="0"/>
        <w:rPr>
          <w:rFonts w:asciiTheme="majorHAnsi" w:hAnsiTheme="majorHAnsi" w:cstheme="majorHAnsi"/>
          <w:sz w:val="20"/>
          <w:lang w:val="pl-PL"/>
        </w:rPr>
      </w:pPr>
      <w:r w:rsidRPr="00E13FF4">
        <w:rPr>
          <w:rFonts w:asciiTheme="majorHAnsi" w:hAnsiTheme="majorHAnsi" w:cstheme="majorHAnsi"/>
          <w:sz w:val="20"/>
          <w:lang w:val="pl-PL"/>
        </w:rPr>
        <w:t>Il rischio principale associato all'installazione è la misurazione inaffidabile della temperatura alla profondità della superficie. Le caratteristiche del sottosuolo sono cruciali anche per un uso efficiente delle risorse geotermiche. Il principale attore nel mercato dell'energia geotermica sono gli Stati Uniti (vedi Figura 9).</w:t>
      </w:r>
    </w:p>
    <w:p w14:paraId="175998FD" w14:textId="77777777" w:rsidR="00C936A4" w:rsidRPr="00E13FF4" w:rsidRDefault="00C936A4" w:rsidP="00E42F88">
      <w:pPr>
        <w:pStyle w:val="Akapitzlist"/>
        <w:spacing w:after="240"/>
        <w:ind w:left="0"/>
        <w:jc w:val="both"/>
        <w:rPr>
          <w:rFonts w:asciiTheme="majorHAnsi" w:hAnsiTheme="majorHAnsi" w:cstheme="majorHAnsi"/>
          <w:sz w:val="20"/>
          <w:lang w:val="pl-PL"/>
        </w:rPr>
      </w:pPr>
    </w:p>
    <w:p w14:paraId="634ED2E9" w14:textId="77777777" w:rsidR="00695B26" w:rsidRPr="00E13FF4" w:rsidRDefault="00711E73" w:rsidP="00E42F88">
      <w:pPr>
        <w:pStyle w:val="Akapitzlist"/>
        <w:spacing w:after="240"/>
        <w:ind w:left="0"/>
        <w:jc w:val="both"/>
        <w:rPr>
          <w:rFonts w:asciiTheme="majorHAnsi" w:hAnsiTheme="majorHAnsi" w:cstheme="majorHAnsi"/>
          <w:sz w:val="20"/>
          <w:lang w:val="pl-PL"/>
        </w:rPr>
      </w:pPr>
      <w:r w:rsidRPr="00E13FF4">
        <w:rPr>
          <w:rFonts w:asciiTheme="majorHAnsi" w:hAnsiTheme="majorHAnsi" w:cstheme="majorHAnsi"/>
          <w:noProof/>
          <w:lang w:eastAsia="en-GB"/>
        </w:rPr>
        <w:lastRenderedPageBreak/>
        <w:drawing>
          <wp:anchor distT="0" distB="0" distL="114300" distR="114300" simplePos="0" relativeHeight="251781120" behindDoc="0" locked="0" layoutInCell="1" allowOverlap="1" wp14:anchorId="14E27416" wp14:editId="4E8C384C">
            <wp:simplePos x="0" y="0"/>
            <wp:positionH relativeFrom="column">
              <wp:posOffset>0</wp:posOffset>
            </wp:positionH>
            <wp:positionV relativeFrom="paragraph">
              <wp:posOffset>37876</wp:posOffset>
            </wp:positionV>
            <wp:extent cx="4582289" cy="2754052"/>
            <wp:effectExtent l="0" t="0" r="8890" b="8255"/>
            <wp:wrapNone/>
            <wp:docPr id="84" name="Chart 84">
              <a:extLst xmlns:a="http://schemas.openxmlformats.org/drawingml/2006/main">
                <a:ext uri="{FF2B5EF4-FFF2-40B4-BE49-F238E27FC236}">
                  <a16:creationId xmlns:a16="http://schemas.microsoft.com/office/drawing/2014/main" id="{8154BA94-7F5B-4B0D-9A4E-765C02CED6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p>
    <w:p w14:paraId="61FE2CE7" w14:textId="77777777" w:rsidR="00695B26" w:rsidRPr="00E13FF4" w:rsidRDefault="00695B26" w:rsidP="00564EAF">
      <w:pPr>
        <w:spacing w:after="0"/>
        <w:rPr>
          <w:rFonts w:asciiTheme="majorHAnsi" w:hAnsiTheme="majorHAnsi" w:cstheme="majorHAnsi"/>
          <w:sz w:val="20"/>
          <w:lang w:val="pl-PL"/>
        </w:rPr>
      </w:pPr>
    </w:p>
    <w:p w14:paraId="6F0D8836" w14:textId="77777777" w:rsidR="00695B26" w:rsidRPr="00E13FF4" w:rsidRDefault="00695B26" w:rsidP="00564EAF">
      <w:pPr>
        <w:spacing w:after="0"/>
        <w:rPr>
          <w:rFonts w:asciiTheme="majorHAnsi" w:hAnsiTheme="majorHAnsi" w:cstheme="majorHAnsi"/>
          <w:sz w:val="20"/>
          <w:lang w:val="pl-PL"/>
        </w:rPr>
      </w:pPr>
    </w:p>
    <w:p w14:paraId="752F67D7" w14:textId="77777777" w:rsidR="00695B26" w:rsidRPr="00E13FF4" w:rsidRDefault="00695B26" w:rsidP="00564EAF">
      <w:pPr>
        <w:spacing w:after="0"/>
        <w:rPr>
          <w:rFonts w:asciiTheme="majorHAnsi" w:hAnsiTheme="majorHAnsi" w:cstheme="majorHAnsi"/>
          <w:sz w:val="20"/>
          <w:lang w:val="pl-PL"/>
        </w:rPr>
      </w:pPr>
    </w:p>
    <w:p w14:paraId="36AF966C" w14:textId="77777777" w:rsidR="00695B26" w:rsidRPr="00E13FF4" w:rsidRDefault="00695B26" w:rsidP="00564EAF">
      <w:pPr>
        <w:spacing w:after="0"/>
        <w:rPr>
          <w:rFonts w:asciiTheme="majorHAnsi" w:hAnsiTheme="majorHAnsi" w:cstheme="majorHAnsi"/>
          <w:sz w:val="20"/>
          <w:lang w:val="pl-PL"/>
        </w:rPr>
      </w:pPr>
    </w:p>
    <w:p w14:paraId="092A75B2" w14:textId="77777777" w:rsidR="00695B26" w:rsidRPr="00E13FF4" w:rsidRDefault="00695B26" w:rsidP="00564EAF">
      <w:pPr>
        <w:spacing w:after="0"/>
        <w:rPr>
          <w:rFonts w:asciiTheme="majorHAnsi" w:hAnsiTheme="majorHAnsi" w:cstheme="majorHAnsi"/>
          <w:sz w:val="20"/>
          <w:lang w:val="pl-PL"/>
        </w:rPr>
      </w:pPr>
    </w:p>
    <w:p w14:paraId="3CF1D394" w14:textId="77777777" w:rsidR="00695B26" w:rsidRPr="00E13FF4" w:rsidRDefault="00695B26" w:rsidP="00564EAF">
      <w:pPr>
        <w:spacing w:after="0"/>
        <w:rPr>
          <w:rFonts w:asciiTheme="majorHAnsi" w:hAnsiTheme="majorHAnsi" w:cstheme="majorHAnsi"/>
          <w:sz w:val="20"/>
          <w:lang w:val="pl-PL"/>
        </w:rPr>
      </w:pPr>
    </w:p>
    <w:p w14:paraId="244EAB29" w14:textId="77777777" w:rsidR="00695B26" w:rsidRPr="00E13FF4" w:rsidRDefault="00695B26" w:rsidP="00564EAF">
      <w:pPr>
        <w:spacing w:after="0"/>
        <w:rPr>
          <w:rFonts w:asciiTheme="majorHAnsi" w:hAnsiTheme="majorHAnsi" w:cstheme="majorHAnsi"/>
          <w:sz w:val="20"/>
          <w:lang w:val="pl-PL"/>
        </w:rPr>
      </w:pPr>
    </w:p>
    <w:p w14:paraId="790907ED" w14:textId="77777777" w:rsidR="00695B26" w:rsidRPr="00E13FF4" w:rsidRDefault="00695B26" w:rsidP="00564EAF">
      <w:pPr>
        <w:spacing w:after="0"/>
        <w:rPr>
          <w:rFonts w:asciiTheme="majorHAnsi" w:hAnsiTheme="majorHAnsi" w:cstheme="majorHAnsi"/>
          <w:sz w:val="20"/>
          <w:lang w:val="pl-PL"/>
        </w:rPr>
      </w:pPr>
    </w:p>
    <w:p w14:paraId="6A820C9A" w14:textId="77777777" w:rsidR="00695B26" w:rsidRPr="00E13FF4" w:rsidRDefault="00695B26" w:rsidP="00564EAF">
      <w:pPr>
        <w:spacing w:after="0"/>
        <w:rPr>
          <w:rFonts w:asciiTheme="majorHAnsi" w:hAnsiTheme="majorHAnsi" w:cstheme="majorHAnsi"/>
          <w:sz w:val="20"/>
          <w:lang w:val="pl-PL"/>
        </w:rPr>
      </w:pPr>
    </w:p>
    <w:p w14:paraId="1A2A5361" w14:textId="77777777" w:rsidR="00695B26" w:rsidRPr="00E13FF4" w:rsidRDefault="00695B26" w:rsidP="00564EAF">
      <w:pPr>
        <w:spacing w:after="0"/>
        <w:rPr>
          <w:rFonts w:asciiTheme="majorHAnsi" w:hAnsiTheme="majorHAnsi" w:cstheme="majorHAnsi"/>
          <w:sz w:val="20"/>
          <w:lang w:val="pl-PL"/>
        </w:rPr>
      </w:pPr>
    </w:p>
    <w:p w14:paraId="64CD6523" w14:textId="77777777" w:rsidR="00695B26" w:rsidRPr="00E13FF4" w:rsidRDefault="00695B26" w:rsidP="00564EAF">
      <w:pPr>
        <w:spacing w:after="0"/>
        <w:rPr>
          <w:rFonts w:asciiTheme="majorHAnsi" w:hAnsiTheme="majorHAnsi" w:cstheme="majorHAnsi"/>
          <w:sz w:val="20"/>
          <w:lang w:val="pl-PL"/>
        </w:rPr>
      </w:pPr>
    </w:p>
    <w:p w14:paraId="36ADD2B2" w14:textId="77777777" w:rsidR="00695B26" w:rsidRPr="00E13FF4" w:rsidRDefault="00695B26" w:rsidP="00564EAF">
      <w:pPr>
        <w:spacing w:after="0"/>
        <w:rPr>
          <w:rFonts w:asciiTheme="majorHAnsi" w:hAnsiTheme="majorHAnsi" w:cstheme="majorHAnsi"/>
          <w:sz w:val="20"/>
          <w:lang w:val="pl-PL"/>
        </w:rPr>
      </w:pPr>
    </w:p>
    <w:p w14:paraId="4578CE7B" w14:textId="77777777" w:rsidR="00695B26" w:rsidRPr="00E13FF4" w:rsidRDefault="00695B26" w:rsidP="00564EAF">
      <w:pPr>
        <w:spacing w:after="0"/>
        <w:rPr>
          <w:rFonts w:asciiTheme="majorHAnsi" w:hAnsiTheme="majorHAnsi" w:cstheme="majorHAnsi"/>
          <w:sz w:val="20"/>
          <w:lang w:val="pl-PL"/>
        </w:rPr>
      </w:pPr>
    </w:p>
    <w:p w14:paraId="46961A07" w14:textId="77777777" w:rsidR="00695B26" w:rsidRPr="00E13FF4" w:rsidRDefault="00695B26" w:rsidP="00564EAF">
      <w:pPr>
        <w:spacing w:after="0"/>
        <w:rPr>
          <w:rFonts w:asciiTheme="majorHAnsi" w:hAnsiTheme="majorHAnsi" w:cstheme="majorHAnsi"/>
          <w:sz w:val="20"/>
          <w:lang w:val="pl-PL"/>
        </w:rPr>
      </w:pPr>
    </w:p>
    <w:p w14:paraId="0771541D" w14:textId="77777777" w:rsidR="00695B26" w:rsidRPr="00E13FF4" w:rsidRDefault="00711E73" w:rsidP="00564EAF">
      <w:pPr>
        <w:spacing w:after="0"/>
        <w:rPr>
          <w:rFonts w:asciiTheme="majorHAnsi" w:hAnsiTheme="majorHAnsi" w:cstheme="majorHAnsi"/>
          <w:sz w:val="20"/>
          <w:lang w:val="pl-PL"/>
        </w:rPr>
      </w:pPr>
      <w:r w:rsidRPr="00E13FF4">
        <w:rPr>
          <w:rFonts w:asciiTheme="majorHAnsi" w:hAnsiTheme="majorHAnsi" w:cstheme="majorHAnsi"/>
          <w:noProof/>
          <w:sz w:val="20"/>
          <w:lang w:eastAsia="en-GB"/>
        </w:rPr>
        <mc:AlternateContent>
          <mc:Choice Requires="wps">
            <w:drawing>
              <wp:anchor distT="0" distB="0" distL="114300" distR="114300" simplePos="0" relativeHeight="251783168" behindDoc="0" locked="0" layoutInCell="1" allowOverlap="1" wp14:anchorId="7458A04F" wp14:editId="070AFBB3">
                <wp:simplePos x="0" y="0"/>
                <wp:positionH relativeFrom="column">
                  <wp:posOffset>0</wp:posOffset>
                </wp:positionH>
                <wp:positionV relativeFrom="paragraph">
                  <wp:posOffset>98631</wp:posOffset>
                </wp:positionV>
                <wp:extent cx="5264150" cy="327660"/>
                <wp:effectExtent l="0" t="0" r="0" b="0"/>
                <wp:wrapNone/>
                <wp:docPr id="85" name="Text Box 85"/>
                <wp:cNvGraphicFramePr/>
                <a:graphic xmlns:a="http://schemas.openxmlformats.org/drawingml/2006/main">
                  <a:graphicData uri="http://schemas.microsoft.com/office/word/2010/wordprocessingShape">
                    <wps:wsp>
                      <wps:cNvSpPr txBox="1"/>
                      <wps:spPr>
                        <a:xfrm>
                          <a:off x="0" y="0"/>
                          <a:ext cx="5264150" cy="327660"/>
                        </a:xfrm>
                        <a:prstGeom prst="rect">
                          <a:avLst/>
                        </a:prstGeom>
                        <a:solidFill>
                          <a:prstClr val="white"/>
                        </a:solidFill>
                        <a:ln>
                          <a:noFill/>
                        </a:ln>
                      </wps:spPr>
                      <wps:txbx>
                        <w:txbxContent>
                          <w:p w14:paraId="65515B9C" w14:textId="77777777" w:rsidR="00711E73" w:rsidRDefault="00711E73" w:rsidP="00711E73">
                            <w:pPr>
                              <w:pStyle w:val="Legenda"/>
                              <w:spacing w:after="0"/>
                            </w:pPr>
                            <w:r>
                              <w:t xml:space="preserve">Figura 9. Capacità di energia geotermica installata, 2018 </w:t>
                            </w:r>
                          </w:p>
                          <w:p w14:paraId="7D34642F" w14:textId="77777777" w:rsidR="00711E73" w:rsidRPr="00644A02" w:rsidRDefault="00711E73" w:rsidP="00711E73">
                            <w:pPr>
                              <w:spacing w:after="0"/>
                            </w:pPr>
                            <w:r w:rsidRPr="00644A02">
                              <w:rPr>
                                <w:i/>
                                <w:iCs/>
                                <w:color w:val="44546A" w:themeColor="text2"/>
                                <w:sz w:val="18"/>
                                <w:szCs w:val="18"/>
                              </w:rPr>
                              <w:t xml:space="preserve">Fonte: </w:t>
                            </w:r>
                            <w:hyperlink r:id="rId26" w:history="1">
                              <w:r w:rsidRPr="00835784">
                                <w:rPr>
                                  <w:i/>
                                  <w:iCs/>
                                  <w:color w:val="44546A" w:themeColor="text2"/>
                                  <w:sz w:val="18"/>
                                  <w:szCs w:val="18"/>
                                </w:rPr>
                                <w:t>https://ourworldindata.org/renewable-energy</w:t>
                              </w:r>
                            </w:hyperlink>
                            <w:r w:rsidRPr="00835784">
                              <w:rPr>
                                <w:i/>
                                <w:iCs/>
                                <w:color w:val="44546A" w:themeColor="text2"/>
                                <w:sz w:val="18"/>
                                <w:szCs w:val="18"/>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458A04F" id="Text Box 85" o:spid="_x0000_s1033" type="#_x0000_t202" style="position:absolute;margin-left:0;margin-top:7.75pt;width:414.5pt;height:25.8pt;z-index:25178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" stroked="f">
                <v:textbox inset="0,0,0,0">
                  <w:txbxContent>
                    <w:p w14:paraId="65515B9C" w14:textId="77777777" w:rsidR="00711E73" w:rsidRDefault="00711E73" w:rsidP="00711E73">
                      <w:pPr>
                        <w:pStyle w:val="Legenda"/>
                        <w:spacing w:after="0"/>
                      </w:pPr>
                      <w:r>
                        <w:t xml:space="preserve">Figura 9. Capacità di energia geotermica installata, 2018 </w:t>
                      </w:r>
                    </w:p>
                    <w:p w14:paraId="7D34642F" w14:textId="77777777" w:rsidR="00711E73" w:rsidRPr="00644A02" w:rsidRDefault="00711E73" w:rsidP="00711E73">
                      <w:pPr>
                        <w:spacing w:after="0"/>
                      </w:pPr>
                      <w:r w:rsidRPr="00644A02">
                        <w:rPr>
                          <w:i/>
                          <w:iCs/>
                          <w:color w:val="44546A" w:themeColor="text2"/>
                          <w:sz w:val="18"/>
                          <w:szCs w:val="18"/>
                        </w:rPr>
                        <w:t xml:space="preserve">Fonte: </w:t>
                      </w:r>
                      <w:hyperlink r:id="rId27" w:history="1">
                        <w:r w:rsidRPr="00835784">
                          <w:rPr>
                            <w:i/>
                            <w:iCs/>
                            <w:color w:val="44546A" w:themeColor="text2"/>
                            <w:sz w:val="18"/>
                            <w:szCs w:val="18"/>
                          </w:rPr>
                          <w:t>https://ourworldindata.org/renewable-energy</w:t>
                        </w:r>
                      </w:hyperlink>
                      <w:r w:rsidRPr="00835784">
                        <w:rPr>
                          <w:i/>
                          <w:iCs/>
                          <w:color w:val="44546A" w:themeColor="text2"/>
                          <w:sz w:val="18"/>
                          <w:szCs w:val="18"/>
                        </w:rPr>
                        <w:t xml:space="preserve"> </w:t>
                      </w:r>
                    </w:p>
                  </w:txbxContent>
                </v:textbox>
              </v:shape>
            </w:pict>
          </mc:Fallback>
        </mc:AlternateContent>
      </w:r>
    </w:p>
    <w:p w14:paraId="21B4A0A6" w14:textId="77777777" w:rsidR="00C936A4" w:rsidRPr="00E13FF4" w:rsidRDefault="00C936A4" w:rsidP="00C936A4">
      <w:pPr>
        <w:rPr>
          <w:rFonts w:asciiTheme="majorHAnsi" w:hAnsiTheme="majorHAnsi" w:cstheme="majorHAnsi"/>
          <w:sz w:val="20"/>
          <w:lang w:val="pl-PL"/>
        </w:rPr>
      </w:pPr>
    </w:p>
    <w:p w14:paraId="2983B80E" w14:textId="77777777" w:rsidR="00C936A4" w:rsidRPr="00E13FF4" w:rsidRDefault="00C936A4" w:rsidP="00C936A4">
      <w:pPr>
        <w:rPr>
          <w:rFonts w:asciiTheme="majorHAnsi" w:hAnsiTheme="majorHAnsi" w:cstheme="majorHAnsi"/>
          <w:sz w:val="20"/>
          <w:lang w:val="pl-PL"/>
        </w:rPr>
      </w:pPr>
      <w:r w:rsidRPr="00E13FF4">
        <w:rPr>
          <w:rFonts w:asciiTheme="majorHAnsi" w:hAnsiTheme="majorHAnsi" w:cstheme="majorHAnsi"/>
          <w:sz w:val="20"/>
          <w:lang w:val="pl-PL"/>
        </w:rPr>
        <w:t>DIAPOSITIVE 11</w:t>
      </w:r>
    </w:p>
    <w:p w14:paraId="3D38A9F5" w14:textId="77777777" w:rsidR="00C936A4" w:rsidRPr="00E13FF4" w:rsidRDefault="00C936A4" w:rsidP="00C936A4">
      <w:pPr>
        <w:spacing w:after="0"/>
        <w:rPr>
          <w:rFonts w:asciiTheme="majorHAnsi" w:hAnsiTheme="majorHAnsi" w:cstheme="majorHAnsi"/>
          <w:sz w:val="20"/>
          <w:lang w:val="pl-PL"/>
        </w:rPr>
      </w:pPr>
      <w:r w:rsidRPr="00E13FF4">
        <w:rPr>
          <w:rFonts w:asciiTheme="majorHAnsi" w:hAnsiTheme="majorHAnsi" w:cstheme="majorHAnsi"/>
          <w:sz w:val="20"/>
          <w:lang w:val="pl-PL"/>
        </w:rPr>
        <w:t>Energia geotermica - occupazione e produzione</w:t>
      </w:r>
    </w:p>
    <w:p w14:paraId="41DCF0AC" w14:textId="77777777" w:rsidR="00C936A4" w:rsidRPr="00E13FF4" w:rsidRDefault="00C936A4" w:rsidP="00C936A4">
      <w:pPr>
        <w:spacing w:after="0"/>
        <w:rPr>
          <w:rFonts w:asciiTheme="majorHAnsi" w:hAnsiTheme="majorHAnsi" w:cstheme="majorHAnsi"/>
          <w:sz w:val="20"/>
          <w:lang w:val="pl-PL"/>
        </w:rPr>
      </w:pPr>
    </w:p>
    <w:p w14:paraId="5409DA10" w14:textId="77777777" w:rsidR="00564EAF" w:rsidRPr="00E13FF4" w:rsidRDefault="00C936A4" w:rsidP="00C936A4">
      <w:pPr>
        <w:spacing w:after="0"/>
        <w:rPr>
          <w:rFonts w:asciiTheme="majorHAnsi" w:hAnsiTheme="majorHAnsi" w:cstheme="majorHAnsi"/>
          <w:sz w:val="20"/>
          <w:lang w:val="pl-PL"/>
        </w:rPr>
      </w:pPr>
      <w:r w:rsidRPr="00E13FF4">
        <w:rPr>
          <w:rFonts w:asciiTheme="majorHAnsi" w:hAnsiTheme="majorHAnsi" w:cstheme="majorHAnsi"/>
          <w:sz w:val="20"/>
          <w:lang w:val="pl-PL"/>
        </w:rPr>
        <w:t>Nel 2017, l'energia geotermica era responsabile solo del 2% della produzione mondiale di energia rinnovabile. Inoltre, il mercato del lavoro è piuttosto piccolo rispetto ad altri settori delle energie rinnovabili e rappresentava solo 94.000 posti di lavoro.</w:t>
      </w:r>
    </w:p>
    <w:p w14:paraId="18FF8104" w14:textId="77777777" w:rsidR="00564EAF" w:rsidRPr="00E13FF4" w:rsidRDefault="00564EAF" w:rsidP="00564EAF">
      <w:pPr>
        <w:spacing w:after="0"/>
        <w:rPr>
          <w:rFonts w:asciiTheme="majorHAnsi" w:hAnsiTheme="majorHAnsi" w:cstheme="majorHAnsi"/>
          <w:sz w:val="18"/>
          <w:lang w:val="pl-PL"/>
        </w:rPr>
      </w:pPr>
    </w:p>
    <w:p w14:paraId="1D052AD5" w14:textId="77777777" w:rsidR="00836439" w:rsidRPr="00E13FF4" w:rsidRDefault="00836439" w:rsidP="00564EAF">
      <w:pPr>
        <w:spacing w:after="0"/>
        <w:rPr>
          <w:rFonts w:asciiTheme="majorHAnsi" w:hAnsiTheme="majorHAnsi" w:cstheme="majorHAnsi"/>
          <w:sz w:val="20"/>
          <w:lang w:val="pl-PL"/>
        </w:rPr>
      </w:pPr>
    </w:p>
    <w:p w14:paraId="6A48DF94" w14:textId="77777777" w:rsidR="0019702E" w:rsidRPr="00E13FF4" w:rsidRDefault="00564EAF" w:rsidP="0019702E">
      <w:pPr>
        <w:rPr>
          <w:rFonts w:asciiTheme="majorHAnsi" w:hAnsiTheme="majorHAnsi" w:cstheme="majorHAnsi"/>
          <w:sz w:val="20"/>
          <w:lang w:val="pl-PL"/>
        </w:rPr>
      </w:pPr>
      <w:r w:rsidRPr="00E13FF4">
        <w:rPr>
          <w:rFonts w:asciiTheme="majorHAnsi" w:hAnsiTheme="majorHAnsi" w:cstheme="majorHAnsi"/>
          <w:sz w:val="20"/>
          <w:lang w:val="pl-PL"/>
        </w:rPr>
        <w:br w:type="page"/>
      </w:r>
      <w:r w:rsidR="0019702E" w:rsidRPr="00E13FF4">
        <w:rPr>
          <w:rFonts w:asciiTheme="majorHAnsi" w:hAnsiTheme="majorHAnsi" w:cstheme="majorHAnsi"/>
          <w:sz w:val="20"/>
          <w:lang w:val="pl-PL"/>
        </w:rPr>
        <w:lastRenderedPageBreak/>
        <w:t>LO2: uso efficiente delle risorse</w:t>
      </w:r>
    </w:p>
    <w:p w14:paraId="08B6256F" w14:textId="77777777" w:rsidR="0019702E" w:rsidRPr="00E13FF4" w:rsidRDefault="0019702E" w:rsidP="0019702E">
      <w:pPr>
        <w:rPr>
          <w:rFonts w:asciiTheme="majorHAnsi" w:hAnsiTheme="majorHAnsi" w:cstheme="majorHAnsi"/>
          <w:sz w:val="20"/>
          <w:lang w:val="pl-PL"/>
        </w:rPr>
      </w:pPr>
      <w:r w:rsidRPr="00E13FF4">
        <w:rPr>
          <w:rFonts w:asciiTheme="majorHAnsi" w:hAnsiTheme="majorHAnsi" w:cstheme="majorHAnsi"/>
          <w:sz w:val="20"/>
          <w:lang w:val="pl-PL"/>
        </w:rPr>
        <w:t>DIAPOSITIVE 1</w:t>
      </w:r>
    </w:p>
    <w:p w14:paraId="4EC6BFAE" w14:textId="77777777" w:rsidR="0019702E" w:rsidRPr="00E13FF4" w:rsidRDefault="0019702E" w:rsidP="0019702E">
      <w:pPr>
        <w:rPr>
          <w:rFonts w:asciiTheme="majorHAnsi" w:hAnsiTheme="majorHAnsi" w:cstheme="majorHAnsi"/>
          <w:sz w:val="20"/>
          <w:lang w:val="pl-PL"/>
        </w:rPr>
      </w:pPr>
      <w:r w:rsidRPr="00E13FF4">
        <w:rPr>
          <w:rFonts w:asciiTheme="majorHAnsi" w:hAnsiTheme="majorHAnsi" w:cstheme="majorHAnsi"/>
          <w:sz w:val="20"/>
          <w:lang w:val="pl-PL"/>
        </w:rPr>
        <w:t>Rifiuti di plastica</w:t>
      </w:r>
    </w:p>
    <w:p w14:paraId="39B4646E" w14:textId="77777777" w:rsidR="0019702E" w:rsidRPr="00E13FF4" w:rsidRDefault="0019702E" w:rsidP="0019702E">
      <w:pPr>
        <w:rPr>
          <w:rFonts w:asciiTheme="majorHAnsi" w:hAnsiTheme="majorHAnsi" w:cstheme="majorHAnsi"/>
          <w:sz w:val="20"/>
          <w:lang w:val="pl-PL"/>
        </w:rPr>
      </w:pPr>
    </w:p>
    <w:p w14:paraId="587DB137" w14:textId="77777777" w:rsidR="00564EAF" w:rsidRPr="00E13FF4" w:rsidRDefault="0019702E" w:rsidP="0019702E">
      <w:pPr>
        <w:rPr>
          <w:rFonts w:asciiTheme="majorHAnsi" w:hAnsiTheme="majorHAnsi" w:cstheme="majorHAnsi"/>
          <w:sz w:val="20"/>
          <w:lang w:val="pl-PL"/>
        </w:rPr>
      </w:pPr>
      <w:r w:rsidRPr="00E13FF4">
        <w:rPr>
          <w:rFonts w:asciiTheme="majorHAnsi" w:hAnsiTheme="majorHAnsi" w:cstheme="majorHAnsi"/>
          <w:sz w:val="20"/>
          <w:lang w:val="pl-PL"/>
        </w:rPr>
        <w:t>Usiamo spesso i nomi Stone Age, Bronze Age e Iron Age per descrivere i periodi passati. La prossima generazione definirà sicuramente il periodo attuale come l'età della plastica in quanto è di gran lunga il materiale più dominante oggi. Gli scienziati affermano che dagli anni '50 sono stati prodotti più di 8,3 miliardi di tonnellate di plastica. Più spaventoso è che circa il 60% di loro è finito in discarica o ha inquinato l'ambiente.</w:t>
      </w:r>
      <w:r w:rsidRPr="00E13FF4">
        <w:rPr>
          <w:rStyle w:val="Odwoanieprzypisudolnego"/>
          <w:rFonts w:asciiTheme="majorHAnsi" w:hAnsiTheme="majorHAnsi" w:cstheme="majorHAnsi"/>
          <w:sz w:val="20"/>
        </w:rPr>
        <w:footnoteReference w:id="9"/>
      </w:r>
    </w:p>
    <w:p w14:paraId="69048257" w14:textId="77777777" w:rsidR="00CB3F55" w:rsidRPr="00E13FF4" w:rsidRDefault="00711E73" w:rsidP="00CB3F55">
      <w:pPr>
        <w:spacing w:before="240" w:after="240"/>
        <w:jc w:val="both"/>
        <w:rPr>
          <w:rFonts w:asciiTheme="majorHAnsi" w:hAnsiTheme="majorHAnsi" w:cstheme="majorHAnsi"/>
          <w:sz w:val="20"/>
          <w:lang w:val="pl-PL"/>
        </w:rPr>
      </w:pPr>
      <w:r w:rsidRPr="00E13FF4">
        <w:rPr>
          <w:rFonts w:asciiTheme="majorHAnsi" w:hAnsiTheme="majorHAnsi" w:cstheme="majorHAnsi"/>
          <w:noProof/>
          <w:lang w:eastAsia="en-GB"/>
        </w:rPr>
        <w:drawing>
          <wp:anchor distT="0" distB="0" distL="114300" distR="114300" simplePos="0" relativeHeight="251784192" behindDoc="0" locked="0" layoutInCell="1" allowOverlap="1" wp14:anchorId="4B66C563" wp14:editId="40AF4C1E">
            <wp:simplePos x="0" y="0"/>
            <wp:positionH relativeFrom="column">
              <wp:posOffset>0</wp:posOffset>
            </wp:positionH>
            <wp:positionV relativeFrom="paragraph">
              <wp:posOffset>-2301</wp:posOffset>
            </wp:positionV>
            <wp:extent cx="4572000" cy="2743200"/>
            <wp:effectExtent l="0" t="0" r="0" b="0"/>
            <wp:wrapNone/>
            <wp:docPr id="86" name="Chart 86">
              <a:extLst xmlns:a="http://schemas.openxmlformats.org/drawingml/2006/main">
                <a:ext uri="{FF2B5EF4-FFF2-40B4-BE49-F238E27FC236}">
                  <a16:creationId xmlns:a16="http://schemas.microsoft.com/office/drawing/2014/main" id="{49F65192-0768-45A3-A0BE-B695E7C4DA5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p>
    <w:p w14:paraId="6D092B01" w14:textId="77777777" w:rsidR="005A4583" w:rsidRPr="00E13FF4" w:rsidRDefault="005A4583" w:rsidP="00E42F88">
      <w:pPr>
        <w:pStyle w:val="Akapitzlist"/>
        <w:spacing w:after="240"/>
        <w:ind w:left="0"/>
        <w:jc w:val="both"/>
        <w:rPr>
          <w:rFonts w:asciiTheme="majorHAnsi" w:hAnsiTheme="majorHAnsi" w:cstheme="majorHAnsi"/>
          <w:sz w:val="20"/>
          <w:lang w:val="pl-PL"/>
        </w:rPr>
      </w:pPr>
    </w:p>
    <w:p w14:paraId="13C3B8AE" w14:textId="77777777" w:rsidR="005A4583" w:rsidRPr="00E13FF4" w:rsidRDefault="005A4583" w:rsidP="00E42F88">
      <w:pPr>
        <w:pStyle w:val="Akapitzlist"/>
        <w:spacing w:after="240"/>
        <w:ind w:left="0"/>
        <w:jc w:val="both"/>
        <w:rPr>
          <w:rFonts w:asciiTheme="majorHAnsi" w:hAnsiTheme="majorHAnsi" w:cstheme="majorHAnsi"/>
          <w:sz w:val="20"/>
          <w:lang w:val="pl-PL"/>
        </w:rPr>
      </w:pPr>
    </w:p>
    <w:p w14:paraId="5690B3AA" w14:textId="77777777" w:rsidR="005A4583" w:rsidRPr="00E13FF4" w:rsidRDefault="005A4583" w:rsidP="00E42F88">
      <w:pPr>
        <w:pStyle w:val="Akapitzlist"/>
        <w:spacing w:after="240"/>
        <w:ind w:left="0"/>
        <w:jc w:val="both"/>
        <w:rPr>
          <w:rFonts w:asciiTheme="majorHAnsi" w:hAnsiTheme="majorHAnsi" w:cstheme="majorHAnsi"/>
          <w:sz w:val="20"/>
          <w:lang w:val="pl-PL"/>
        </w:rPr>
      </w:pPr>
    </w:p>
    <w:p w14:paraId="08497367" w14:textId="77777777" w:rsidR="005A4583" w:rsidRPr="00E13FF4" w:rsidRDefault="005A4583" w:rsidP="00E42F88">
      <w:pPr>
        <w:pStyle w:val="Akapitzlist"/>
        <w:spacing w:after="240"/>
        <w:ind w:left="0"/>
        <w:jc w:val="both"/>
        <w:rPr>
          <w:rFonts w:asciiTheme="majorHAnsi" w:hAnsiTheme="majorHAnsi" w:cstheme="majorHAnsi"/>
          <w:sz w:val="20"/>
          <w:lang w:val="pl-PL"/>
        </w:rPr>
      </w:pPr>
    </w:p>
    <w:p w14:paraId="04DCE673" w14:textId="77777777" w:rsidR="005A4583" w:rsidRPr="00E13FF4" w:rsidRDefault="005A4583" w:rsidP="00E42F88">
      <w:pPr>
        <w:pStyle w:val="Akapitzlist"/>
        <w:spacing w:after="240"/>
        <w:ind w:left="0"/>
        <w:jc w:val="both"/>
        <w:rPr>
          <w:rFonts w:asciiTheme="majorHAnsi" w:hAnsiTheme="majorHAnsi" w:cstheme="majorHAnsi"/>
          <w:sz w:val="20"/>
          <w:lang w:val="pl-PL"/>
        </w:rPr>
      </w:pPr>
    </w:p>
    <w:p w14:paraId="29818DD0" w14:textId="77777777" w:rsidR="005A4583" w:rsidRPr="00E13FF4" w:rsidRDefault="005A4583" w:rsidP="00E42F88">
      <w:pPr>
        <w:pStyle w:val="Akapitzlist"/>
        <w:spacing w:after="240"/>
        <w:ind w:left="0"/>
        <w:jc w:val="both"/>
        <w:rPr>
          <w:rFonts w:asciiTheme="majorHAnsi" w:hAnsiTheme="majorHAnsi" w:cstheme="majorHAnsi"/>
          <w:sz w:val="20"/>
          <w:lang w:val="pl-PL"/>
        </w:rPr>
      </w:pPr>
    </w:p>
    <w:p w14:paraId="6A2A3BB4" w14:textId="77777777" w:rsidR="005A4583" w:rsidRPr="00E13FF4" w:rsidRDefault="005A4583" w:rsidP="00E42F88">
      <w:pPr>
        <w:pStyle w:val="Akapitzlist"/>
        <w:spacing w:after="240"/>
        <w:ind w:left="0"/>
        <w:jc w:val="both"/>
        <w:rPr>
          <w:rFonts w:asciiTheme="majorHAnsi" w:hAnsiTheme="majorHAnsi" w:cstheme="majorHAnsi"/>
          <w:sz w:val="20"/>
          <w:lang w:val="pl-PL"/>
        </w:rPr>
      </w:pPr>
    </w:p>
    <w:p w14:paraId="71414BBE" w14:textId="77777777" w:rsidR="005A4583" w:rsidRPr="00E13FF4" w:rsidRDefault="005A4583" w:rsidP="00E42F88">
      <w:pPr>
        <w:pStyle w:val="Akapitzlist"/>
        <w:spacing w:after="240"/>
        <w:ind w:left="0"/>
        <w:jc w:val="both"/>
        <w:rPr>
          <w:rFonts w:asciiTheme="majorHAnsi" w:hAnsiTheme="majorHAnsi" w:cstheme="majorHAnsi"/>
          <w:sz w:val="20"/>
          <w:lang w:val="pl-PL"/>
        </w:rPr>
      </w:pPr>
    </w:p>
    <w:p w14:paraId="7103B2AE" w14:textId="77777777" w:rsidR="005A4583" w:rsidRPr="00E13FF4" w:rsidRDefault="005A4583" w:rsidP="00E42F88">
      <w:pPr>
        <w:pStyle w:val="Akapitzlist"/>
        <w:spacing w:after="240"/>
        <w:ind w:left="0"/>
        <w:jc w:val="both"/>
        <w:rPr>
          <w:rFonts w:asciiTheme="majorHAnsi" w:hAnsiTheme="majorHAnsi" w:cstheme="majorHAnsi"/>
          <w:sz w:val="20"/>
          <w:lang w:val="pl-PL"/>
        </w:rPr>
      </w:pPr>
    </w:p>
    <w:p w14:paraId="35EAA463" w14:textId="77777777" w:rsidR="00CB3F55" w:rsidRPr="00E13FF4" w:rsidRDefault="00CB3F55" w:rsidP="00E42F88">
      <w:pPr>
        <w:pStyle w:val="Akapitzlist"/>
        <w:spacing w:after="240"/>
        <w:ind w:left="0"/>
        <w:jc w:val="both"/>
        <w:rPr>
          <w:rFonts w:asciiTheme="majorHAnsi" w:hAnsiTheme="majorHAnsi" w:cstheme="majorHAnsi"/>
          <w:sz w:val="20"/>
          <w:lang w:val="pl-PL"/>
        </w:rPr>
      </w:pPr>
    </w:p>
    <w:p w14:paraId="05B14874" w14:textId="77777777" w:rsidR="00CB3F55" w:rsidRPr="00E13FF4" w:rsidRDefault="00CB3F55" w:rsidP="00E42F88">
      <w:pPr>
        <w:pStyle w:val="Akapitzlist"/>
        <w:spacing w:after="240"/>
        <w:ind w:left="0"/>
        <w:jc w:val="both"/>
        <w:rPr>
          <w:rFonts w:asciiTheme="majorHAnsi" w:hAnsiTheme="majorHAnsi" w:cstheme="majorHAnsi"/>
          <w:sz w:val="20"/>
          <w:lang w:val="pl-PL"/>
        </w:rPr>
      </w:pPr>
    </w:p>
    <w:p w14:paraId="7D353F7C" w14:textId="77777777" w:rsidR="00CB3F55" w:rsidRPr="00E13FF4" w:rsidRDefault="00236626" w:rsidP="00236626">
      <w:pPr>
        <w:pStyle w:val="Akapitzlist"/>
        <w:spacing w:after="0"/>
        <w:ind w:left="0"/>
        <w:jc w:val="both"/>
        <w:rPr>
          <w:rFonts w:asciiTheme="majorHAnsi" w:hAnsiTheme="majorHAnsi" w:cstheme="majorHAnsi"/>
          <w:sz w:val="20"/>
          <w:lang w:val="pl-PL"/>
        </w:rPr>
      </w:pPr>
      <w:r w:rsidRPr="00E13FF4">
        <w:rPr>
          <w:rFonts w:asciiTheme="majorHAnsi" w:hAnsiTheme="majorHAnsi" w:cstheme="majorHAnsi"/>
          <w:sz w:val="20"/>
          <w:lang w:val="pl-PL"/>
        </w:rPr>
        <w:t>SLIDE 2</w:t>
      </w:r>
    </w:p>
    <w:p w14:paraId="7ED184D5" w14:textId="77777777" w:rsidR="00236626" w:rsidRPr="00E13FF4" w:rsidRDefault="00236626" w:rsidP="00236626">
      <w:pPr>
        <w:pStyle w:val="Akapitzlist"/>
        <w:spacing w:after="0"/>
        <w:ind w:left="0"/>
        <w:jc w:val="both"/>
        <w:rPr>
          <w:rFonts w:asciiTheme="majorHAnsi" w:hAnsiTheme="majorHAnsi" w:cstheme="majorHAnsi"/>
          <w:sz w:val="18"/>
          <w:lang w:val="pl-PL"/>
        </w:rPr>
      </w:pPr>
      <w:r w:rsidRPr="00E13FF4">
        <w:rPr>
          <w:rFonts w:asciiTheme="majorHAnsi" w:hAnsiTheme="majorHAnsi" w:cstheme="majorHAnsi"/>
          <w:sz w:val="18"/>
          <w:lang w:val="pl-PL"/>
        </w:rPr>
        <w:t>Raccolta differenziata</w:t>
      </w:r>
    </w:p>
    <w:p w14:paraId="46E1EB45" w14:textId="77777777" w:rsidR="00CB3F55" w:rsidRPr="00E13FF4" w:rsidRDefault="00501A59" w:rsidP="00E42F88">
      <w:pPr>
        <w:pStyle w:val="Akapitzlist"/>
        <w:spacing w:after="240"/>
        <w:ind w:left="0"/>
        <w:jc w:val="both"/>
        <w:rPr>
          <w:rFonts w:asciiTheme="majorHAnsi" w:hAnsiTheme="majorHAnsi" w:cstheme="majorHAnsi"/>
          <w:sz w:val="20"/>
          <w:lang w:val="pl-PL"/>
        </w:rPr>
      </w:pPr>
      <w:r w:rsidRPr="00E13FF4">
        <w:rPr>
          <w:rFonts w:asciiTheme="majorHAnsi" w:hAnsiTheme="majorHAnsi" w:cstheme="majorHAnsi"/>
          <w:noProof/>
          <w:sz w:val="20"/>
          <w:lang w:eastAsia="en-GB"/>
        </w:rPr>
        <mc:AlternateContent>
          <mc:Choice Requires="wps">
            <w:drawing>
              <wp:anchor distT="0" distB="0" distL="114300" distR="114300" simplePos="0" relativeHeight="251786240" behindDoc="0" locked="0" layoutInCell="1" allowOverlap="1" wp14:anchorId="2007FCFB" wp14:editId="6D80FA1B">
                <wp:simplePos x="0" y="0"/>
                <wp:positionH relativeFrom="column">
                  <wp:posOffset>0</wp:posOffset>
                </wp:positionH>
                <wp:positionV relativeFrom="paragraph">
                  <wp:posOffset>126794</wp:posOffset>
                </wp:positionV>
                <wp:extent cx="5264150" cy="327660"/>
                <wp:effectExtent l="0" t="0" r="0" b="0"/>
                <wp:wrapNone/>
                <wp:docPr id="87" name="Text Box 87"/>
                <wp:cNvGraphicFramePr/>
                <a:graphic xmlns:a="http://schemas.openxmlformats.org/drawingml/2006/main">
                  <a:graphicData uri="http://schemas.microsoft.com/office/word/2010/wordprocessingShape">
                    <wps:wsp>
                      <wps:cNvSpPr txBox="1"/>
                      <wps:spPr>
                        <a:xfrm>
                          <a:off x="0" y="0"/>
                          <a:ext cx="5264150" cy="327660"/>
                        </a:xfrm>
                        <a:prstGeom prst="rect">
                          <a:avLst/>
                        </a:prstGeom>
                        <a:solidFill>
                          <a:prstClr val="white"/>
                        </a:solidFill>
                        <a:ln>
                          <a:noFill/>
                        </a:ln>
                      </wps:spPr>
                      <wps:txbx>
                        <w:txbxContent>
                          <w:p w14:paraId="7FD03CF4" w14:textId="77777777" w:rsidR="00501A59" w:rsidRDefault="00501A59" w:rsidP="00501A59">
                            <w:pPr>
                              <w:pStyle w:val="Legenda"/>
                              <w:spacing w:after="0"/>
                            </w:pPr>
                            <w:r>
                              <w:t xml:space="preserve">Figura 10. Produzione di rifiuti di plastica per settore industriale, 2015 </w:t>
                            </w:r>
                          </w:p>
                          <w:p w14:paraId="72BF4B15" w14:textId="77777777" w:rsidR="00501A59" w:rsidRPr="00501A59" w:rsidRDefault="00501A59" w:rsidP="00501A59">
                            <w:pPr>
                              <w:spacing w:after="0"/>
                              <w:rPr>
                                <w:i/>
                                <w:iCs/>
                                <w:color w:val="44546A" w:themeColor="text2"/>
                                <w:sz w:val="18"/>
                                <w:szCs w:val="18"/>
                              </w:rPr>
                            </w:pPr>
                            <w:r w:rsidRPr="00644A02">
                              <w:rPr>
                                <w:i/>
                                <w:iCs/>
                                <w:color w:val="44546A" w:themeColor="text2"/>
                                <w:sz w:val="18"/>
                                <w:szCs w:val="18"/>
                              </w:rPr>
                              <w:t xml:space="preserve">Fonte: </w:t>
                            </w:r>
                            <w:hyperlink r:id="rId29" w:history="1">
                              <w:r w:rsidRPr="00501A59">
                                <w:rPr>
                                  <w:i/>
                                  <w:iCs/>
                                  <w:color w:val="44546A" w:themeColor="text2"/>
                                  <w:sz w:val="18"/>
                                  <w:szCs w:val="18"/>
                                </w:rPr>
                                <w:t>https://ourworldindata.org/grapher/plastic-waste-by-sector</w:t>
                              </w:r>
                            </w:hyperlink>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007FCFB" id="Text Box 87" o:spid="_x0000_s1034" type="#_x0000_t202" style="position:absolute;left:0;text-align:left;margin-left:0;margin-top:10pt;width:414.5pt;height:25.8pt;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" stroked="f">
                <v:textbox inset="0,0,0,0">
                  <w:txbxContent>
                    <w:p w14:paraId="7FD03CF4" w14:textId="77777777" w:rsidR="00501A59" w:rsidRDefault="00501A59" w:rsidP="00501A59">
                      <w:pPr>
                        <w:pStyle w:val="Legenda"/>
                        <w:spacing w:after="0"/>
                      </w:pPr>
                      <w:r>
                        <w:t xml:space="preserve">Figura 10. Produzione di rifiuti di plastica per settore industriale, 2015 </w:t>
                      </w:r>
                    </w:p>
                    <w:p w14:paraId="72BF4B15" w14:textId="77777777" w:rsidR="00501A59" w:rsidRPr="00501A59" w:rsidRDefault="00501A59" w:rsidP="00501A59">
                      <w:pPr>
                        <w:spacing w:after="0"/>
                        <w:rPr>
                          <w:i/>
                          <w:iCs/>
                          <w:color w:val="44546A" w:themeColor="text2"/>
                          <w:sz w:val="18"/>
                          <w:szCs w:val="18"/>
                        </w:rPr>
                      </w:pPr>
                      <w:r w:rsidRPr="00644A02">
                        <w:rPr>
                          <w:i/>
                          <w:iCs/>
                          <w:color w:val="44546A" w:themeColor="text2"/>
                          <w:sz w:val="18"/>
                          <w:szCs w:val="18"/>
                        </w:rPr>
                        <w:t xml:space="preserve">Fonte: </w:t>
                      </w:r>
                      <w:hyperlink r:id="rId30" w:history="1">
                        <w:r w:rsidRPr="00501A59">
                          <w:rPr>
                            <w:i/>
                            <w:iCs/>
                            <w:color w:val="44546A" w:themeColor="text2"/>
                            <w:sz w:val="18"/>
                            <w:szCs w:val="18"/>
                          </w:rPr>
                          <w:t>https://ourworldindata.org/grapher/plastic-waste-by-sector</w:t>
                        </w:r>
                      </w:hyperlink>
                    </w:p>
                  </w:txbxContent>
                </v:textbox>
              </v:shape>
            </w:pict>
          </mc:Fallback>
        </mc:AlternateContent>
      </w:r>
    </w:p>
    <w:p w14:paraId="640B94B3" w14:textId="77777777" w:rsidR="00501A59" w:rsidRPr="00E13FF4" w:rsidRDefault="00501A59" w:rsidP="00E42F88">
      <w:pPr>
        <w:pStyle w:val="Akapitzlist"/>
        <w:spacing w:after="240"/>
        <w:ind w:left="0"/>
        <w:jc w:val="both"/>
        <w:rPr>
          <w:rFonts w:asciiTheme="majorHAnsi" w:hAnsiTheme="majorHAnsi" w:cstheme="majorHAnsi"/>
          <w:sz w:val="20"/>
          <w:lang w:val="pl-PL"/>
        </w:rPr>
      </w:pPr>
    </w:p>
    <w:p w14:paraId="2B5480AE" w14:textId="77777777" w:rsidR="002E2CA6" w:rsidRPr="00E13FF4" w:rsidRDefault="002E2CA6">
      <w:pPr>
        <w:rPr>
          <w:rFonts w:asciiTheme="majorHAnsi" w:hAnsiTheme="majorHAnsi" w:cstheme="majorHAnsi"/>
          <w:sz w:val="20"/>
          <w:lang w:val="pl-PL"/>
        </w:rPr>
      </w:pPr>
      <w:r w:rsidRPr="00E13FF4">
        <w:rPr>
          <w:rFonts w:asciiTheme="majorHAnsi" w:hAnsiTheme="majorHAnsi" w:cstheme="majorHAnsi"/>
          <w:sz w:val="20"/>
          <w:lang w:val="pl-PL"/>
        </w:rPr>
        <w:br w:type="page"/>
      </w:r>
    </w:p>
    <w:p w14:paraId="63D94B08" w14:textId="77777777" w:rsidR="00501A59" w:rsidRPr="00E13FF4" w:rsidRDefault="00501A59" w:rsidP="00E42F88">
      <w:pPr>
        <w:pStyle w:val="Akapitzlist"/>
        <w:spacing w:after="240"/>
        <w:ind w:left="0"/>
        <w:jc w:val="both"/>
        <w:rPr>
          <w:rFonts w:asciiTheme="majorHAnsi" w:hAnsiTheme="majorHAnsi" w:cstheme="majorHAnsi"/>
          <w:sz w:val="20"/>
          <w:lang w:val="pl-PL"/>
        </w:rPr>
      </w:pPr>
    </w:p>
    <w:p w14:paraId="2220581C" w14:textId="77777777" w:rsidR="0019702E" w:rsidRPr="00E13FF4" w:rsidRDefault="0019702E" w:rsidP="00E42F88">
      <w:pPr>
        <w:pStyle w:val="Akapitzlist"/>
        <w:spacing w:after="240"/>
        <w:ind w:left="0"/>
        <w:jc w:val="both"/>
        <w:rPr>
          <w:rFonts w:asciiTheme="majorHAnsi" w:hAnsiTheme="majorHAnsi" w:cstheme="majorHAnsi"/>
          <w:sz w:val="20"/>
          <w:lang w:val="pl-PL"/>
        </w:rPr>
      </w:pPr>
      <w:r w:rsidRPr="00E13FF4">
        <w:rPr>
          <w:rFonts w:asciiTheme="majorHAnsi" w:hAnsiTheme="majorHAnsi" w:cstheme="majorHAnsi"/>
          <w:sz w:val="20"/>
          <w:lang w:val="pl-PL"/>
        </w:rPr>
        <w:t xml:space="preserve">Diapositiva 2 </w:t>
      </w:r>
    </w:p>
    <w:p w14:paraId="4DE0FAB8" w14:textId="77777777" w:rsidR="0019702E" w:rsidRPr="00E13FF4" w:rsidRDefault="0019702E" w:rsidP="0019702E">
      <w:pPr>
        <w:pStyle w:val="Akapitzlist"/>
        <w:spacing w:after="240"/>
        <w:jc w:val="both"/>
        <w:rPr>
          <w:rFonts w:asciiTheme="majorHAnsi" w:hAnsiTheme="majorHAnsi" w:cstheme="majorHAnsi"/>
          <w:sz w:val="20"/>
          <w:lang w:val="pl-PL"/>
        </w:rPr>
      </w:pPr>
    </w:p>
    <w:p w14:paraId="4AFF48CC" w14:textId="77777777" w:rsidR="00790FC6" w:rsidRPr="00E13FF4" w:rsidRDefault="0019702E" w:rsidP="00E42F88">
      <w:pPr>
        <w:pStyle w:val="Akapitzlist"/>
        <w:spacing w:after="240"/>
        <w:ind w:left="0"/>
        <w:jc w:val="both"/>
        <w:rPr>
          <w:rFonts w:asciiTheme="majorHAnsi" w:hAnsiTheme="majorHAnsi" w:cstheme="majorHAnsi"/>
          <w:sz w:val="20"/>
          <w:lang w:val="pl-PL"/>
        </w:rPr>
      </w:pPr>
      <w:r w:rsidRPr="00E13FF4">
        <w:rPr>
          <w:rFonts w:asciiTheme="majorHAnsi" w:hAnsiTheme="majorHAnsi" w:cstheme="majorHAnsi"/>
          <w:sz w:val="20"/>
          <w:lang w:val="pl-PL"/>
        </w:rPr>
        <w:t>Il riciclaggio è il processo di trasformazione dei rifiuti in nuovi materiali e oggetti. Il riciclaggio della plastica è iniziato negli anni 80. Per evitare che la plastica raggiungesse la discarica, è stato necessario un trattamento termico, che ovviamente causa problemi ambientali e sanitari. Grazie alle tecnologie attuali, come la pirolisi (estrazione di carburante dai rifiuti di plastica) e la biodegradazione (utilizzando organismi che digeriscono i polimeri), è possibile ridurre la quantità di rifiuti in futuro.</w:t>
      </w:r>
      <w:r w:rsidR="002E2CA6" w:rsidRPr="00E13FF4">
        <w:rPr>
          <w:rStyle w:val="Odwoanieprzypisudolnego"/>
          <w:rFonts w:asciiTheme="majorHAnsi" w:hAnsiTheme="majorHAnsi" w:cstheme="majorHAnsi"/>
          <w:sz w:val="20"/>
        </w:rPr>
        <w:footnoteReference w:id="10"/>
      </w:r>
    </w:p>
    <w:p w14:paraId="3E989FCA" w14:textId="77777777" w:rsidR="00790FC6" w:rsidRPr="00E13FF4" w:rsidRDefault="00790FC6" w:rsidP="00E42F88">
      <w:pPr>
        <w:pStyle w:val="Akapitzlist"/>
        <w:spacing w:after="240"/>
        <w:ind w:left="0"/>
        <w:jc w:val="both"/>
        <w:rPr>
          <w:rFonts w:asciiTheme="majorHAnsi" w:hAnsiTheme="majorHAnsi" w:cstheme="majorHAnsi"/>
          <w:sz w:val="20"/>
          <w:lang w:val="pl-PL"/>
        </w:rPr>
      </w:pPr>
    </w:p>
    <w:p w14:paraId="0036CE85" w14:textId="77777777" w:rsidR="00790FC6" w:rsidRPr="00E13FF4" w:rsidRDefault="002E2CA6" w:rsidP="00E42F88">
      <w:pPr>
        <w:pStyle w:val="Akapitzlist"/>
        <w:spacing w:after="240"/>
        <w:ind w:left="0"/>
        <w:jc w:val="both"/>
        <w:rPr>
          <w:rFonts w:asciiTheme="majorHAnsi" w:hAnsiTheme="majorHAnsi" w:cstheme="majorHAnsi"/>
          <w:sz w:val="20"/>
          <w:lang w:val="pl-PL"/>
        </w:rPr>
      </w:pPr>
      <w:r w:rsidRPr="00E13FF4">
        <w:rPr>
          <w:rFonts w:asciiTheme="majorHAnsi" w:hAnsiTheme="majorHAnsi" w:cstheme="majorHAnsi"/>
          <w:noProof/>
          <w:lang w:eastAsia="en-GB"/>
        </w:rPr>
        <w:drawing>
          <wp:anchor distT="0" distB="0" distL="114300" distR="114300" simplePos="0" relativeHeight="251787264" behindDoc="0" locked="0" layoutInCell="1" allowOverlap="1" wp14:anchorId="0807BE3F" wp14:editId="2C1A21AC">
            <wp:simplePos x="0" y="0"/>
            <wp:positionH relativeFrom="column">
              <wp:posOffset>135172</wp:posOffset>
            </wp:positionH>
            <wp:positionV relativeFrom="paragraph">
              <wp:posOffset>5163</wp:posOffset>
            </wp:positionV>
            <wp:extent cx="3896139" cy="2146852"/>
            <wp:effectExtent l="0" t="0" r="0" b="6350"/>
            <wp:wrapNone/>
            <wp:docPr id="88" name="Chart 88">
              <a:extLst xmlns:a="http://schemas.openxmlformats.org/drawingml/2006/main">
                <a:ext uri="{FF2B5EF4-FFF2-40B4-BE49-F238E27FC236}">
                  <a16:creationId xmlns:a16="http://schemas.microsoft.com/office/drawing/2014/main" id="{86D8171E-0390-4810-AD72-3E341BB07E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14:sizeRelH relativeFrom="margin">
              <wp14:pctWidth>0</wp14:pctWidth>
            </wp14:sizeRelH>
            <wp14:sizeRelV relativeFrom="margin">
              <wp14:pctHeight>0</wp14:pctHeight>
            </wp14:sizeRelV>
          </wp:anchor>
        </w:drawing>
      </w:r>
    </w:p>
    <w:p w14:paraId="519D7864" w14:textId="77777777" w:rsidR="00501A59" w:rsidRPr="00E13FF4" w:rsidRDefault="00501A59">
      <w:pPr>
        <w:rPr>
          <w:rFonts w:asciiTheme="majorHAnsi" w:hAnsiTheme="majorHAnsi" w:cstheme="majorHAnsi"/>
          <w:sz w:val="20"/>
          <w:lang w:val="pl-PL"/>
        </w:rPr>
      </w:pPr>
      <w:r w:rsidRPr="00E13FF4">
        <w:rPr>
          <w:rFonts w:asciiTheme="majorHAnsi" w:hAnsiTheme="majorHAnsi" w:cstheme="majorHAnsi"/>
          <w:noProof/>
          <w:lang w:eastAsia="en-GB"/>
        </w:rPr>
        <mc:AlternateContent>
          <mc:Choice Requires="wps">
            <w:drawing>
              <wp:anchor distT="0" distB="0" distL="114300" distR="114300" simplePos="0" relativeHeight="251789312" behindDoc="1" locked="0" layoutInCell="1" allowOverlap="1" wp14:anchorId="018A9277" wp14:editId="3C217D94">
                <wp:simplePos x="0" y="0"/>
                <wp:positionH relativeFrom="column">
                  <wp:posOffset>-381331</wp:posOffset>
                </wp:positionH>
                <wp:positionV relativeFrom="paragraph">
                  <wp:posOffset>2147321</wp:posOffset>
                </wp:positionV>
                <wp:extent cx="5835650" cy="317500"/>
                <wp:effectExtent l="0" t="0" r="0" b="6350"/>
                <wp:wrapNone/>
                <wp:docPr id="64" name="Text Box 64"/>
                <wp:cNvGraphicFramePr/>
                <a:graphic xmlns:a="http://schemas.openxmlformats.org/drawingml/2006/main">
                  <a:graphicData uri="http://schemas.microsoft.com/office/word/2010/wordprocessingShape">
                    <wps:wsp>
                      <wps:cNvSpPr txBox="1"/>
                      <wps:spPr>
                        <a:xfrm>
                          <a:off x="0" y="0"/>
                          <a:ext cx="5835650" cy="317500"/>
                        </a:xfrm>
                        <a:prstGeom prst="rect">
                          <a:avLst/>
                        </a:prstGeom>
                        <a:solidFill>
                          <a:prstClr val="white"/>
                        </a:solidFill>
                        <a:ln>
                          <a:noFill/>
                        </a:ln>
                      </wps:spPr>
                      <wps:txbx>
                        <w:txbxContent>
                          <w:p w14:paraId="1B9DA233" w14:textId="77777777" w:rsidR="00501A59" w:rsidRDefault="00501A59" w:rsidP="00501A59">
                            <w:pPr>
                              <w:pStyle w:val="Legenda"/>
                              <w:spacing w:after="0"/>
                            </w:pPr>
                            <w:r>
                              <w:t>Figura 11. Primi 10 paesi per tassi di riciclo nel 2017</w:t>
                            </w:r>
                          </w:p>
                          <w:p w14:paraId="09643F6B" w14:textId="77777777" w:rsidR="00501A59" w:rsidRPr="000A1375" w:rsidRDefault="00501A59" w:rsidP="00501A59">
                            <w:pPr>
                              <w:spacing w:after="0"/>
                            </w:pPr>
                            <w:r w:rsidRPr="000A1375">
                              <w:rPr>
                                <w:i/>
                                <w:iCs/>
                                <w:color w:val="44546A" w:themeColor="text2"/>
                                <w:sz w:val="18"/>
                                <w:szCs w:val="18"/>
                              </w:rPr>
                              <w:t>Fonte:</w:t>
                            </w:r>
                            <w:r>
                              <w:t xml:space="preserve"> </w:t>
                            </w:r>
                            <w:hyperlink r:id="rId32" w:history="1">
                              <w:r w:rsidRPr="000A1375">
                                <w:rPr>
                                  <w:rStyle w:val="Hipercze"/>
                                  <w:sz w:val="18"/>
                                </w:rPr>
                                <w:t>https://www.weforum.org/agenda/2017/12/germany-recycles-more-than-any-other-country/</w:t>
                              </w:r>
                            </w:hyperlink>
                            <w:r>
                              <w:t xml:space="preserve"> </w:t>
                            </w:r>
                            <w:r w:rsidRPr="000A1375">
                              <w:rPr>
                                <w:i/>
                                <w:iCs/>
                                <w:color w:val="44546A" w:themeColor="text2"/>
                                <w:sz w:val="18"/>
                                <w:szCs w:val="18"/>
                              </w:rPr>
                              <w:t>(05/11/2019)</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8A9277" id="Text Box 64" o:spid="_x0000_s1035" type="#_x0000_t202" style="position:absolute;margin-left:-30.05pt;margin-top:169.1pt;width:459.5pt;height:25pt;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" stroked="f">
                <v:textbox inset="0,0,0,0">
                  <w:txbxContent>
                    <w:p w14:paraId="1B9DA233" w14:textId="77777777" w:rsidR="00501A59" w:rsidRDefault="00501A59" w:rsidP="00501A59">
                      <w:pPr>
                        <w:pStyle w:val="Legenda"/>
                        <w:spacing w:after="0"/>
                      </w:pPr>
                      <w:r>
                        <w:t>Figura 11. Primi 10 paesi per tassi di riciclo nel 2017</w:t>
                      </w:r>
                    </w:p>
                    <w:p w14:paraId="09643F6B" w14:textId="77777777" w:rsidR="00501A59" w:rsidRPr="000A1375" w:rsidRDefault="00501A59" w:rsidP="00501A59">
                      <w:pPr>
                        <w:spacing w:after="0"/>
                      </w:pPr>
                      <w:r w:rsidRPr="000A1375">
                        <w:rPr>
                          <w:i/>
                          <w:iCs/>
                          <w:color w:val="44546A" w:themeColor="text2"/>
                          <w:sz w:val="18"/>
                          <w:szCs w:val="18"/>
                        </w:rPr>
                        <w:t>Fonte:</w:t>
                      </w:r>
                      <w:r>
                        <w:t xml:space="preserve"> </w:t>
                      </w:r>
                      <w:hyperlink r:id="rId33" w:history="1">
                        <w:r w:rsidRPr="000A1375">
                          <w:rPr>
                            <w:rStyle w:val="Hipercze"/>
                            <w:sz w:val="18"/>
                          </w:rPr>
                          <w:t>https://www.weforum.org/agenda/2017/12/germany-recycles-more-than-any-other-country/</w:t>
                        </w:r>
                      </w:hyperlink>
                      <w:r>
                        <w:t xml:space="preserve"> </w:t>
                      </w:r>
                      <w:r w:rsidRPr="000A1375">
                        <w:rPr>
                          <w:i/>
                          <w:iCs/>
                          <w:color w:val="44546A" w:themeColor="text2"/>
                          <w:sz w:val="18"/>
                          <w:szCs w:val="18"/>
                        </w:rPr>
                        <w:t>(05/11/2019)</w:t>
                      </w:r>
                    </w:p>
                  </w:txbxContent>
                </v:textbox>
              </v:shape>
            </w:pict>
          </mc:Fallback>
        </mc:AlternateContent>
      </w:r>
      <w:r w:rsidRPr="00E13FF4">
        <w:rPr>
          <w:rFonts w:asciiTheme="majorHAnsi" w:hAnsiTheme="majorHAnsi" w:cstheme="majorHAnsi"/>
          <w:sz w:val="20"/>
          <w:lang w:val="pl-PL"/>
        </w:rPr>
        <w:br w:type="page"/>
      </w:r>
    </w:p>
    <w:p w14:paraId="21207763" w14:textId="77777777" w:rsidR="00B54814" w:rsidRPr="00E13FF4" w:rsidRDefault="00B54814" w:rsidP="00B54814">
      <w:pPr>
        <w:pStyle w:val="Akapitzlist"/>
        <w:spacing w:after="240"/>
        <w:jc w:val="both"/>
        <w:rPr>
          <w:rFonts w:asciiTheme="majorHAnsi" w:hAnsiTheme="majorHAnsi" w:cstheme="majorHAnsi"/>
          <w:sz w:val="20"/>
          <w:lang w:val="pl-PL"/>
        </w:rPr>
      </w:pPr>
    </w:p>
    <w:p w14:paraId="7590D7C5" w14:textId="77777777" w:rsidR="00B54814" w:rsidRPr="00E13FF4" w:rsidRDefault="00B54814" w:rsidP="00B54814">
      <w:pPr>
        <w:spacing w:after="240"/>
        <w:jc w:val="both"/>
        <w:rPr>
          <w:rFonts w:asciiTheme="majorHAnsi" w:hAnsiTheme="majorHAnsi" w:cstheme="majorHAnsi"/>
          <w:sz w:val="20"/>
          <w:lang w:val="pl-PL"/>
        </w:rPr>
      </w:pPr>
      <w:r w:rsidRPr="00E13FF4">
        <w:rPr>
          <w:rFonts w:asciiTheme="majorHAnsi" w:hAnsiTheme="majorHAnsi" w:cstheme="majorHAnsi"/>
          <w:sz w:val="20"/>
          <w:lang w:val="pl-PL"/>
        </w:rPr>
        <w:t>SLIDE 3</w:t>
      </w:r>
    </w:p>
    <w:p w14:paraId="50B2935B" w14:textId="77777777" w:rsidR="00B54814" w:rsidRPr="00E13FF4" w:rsidRDefault="00B54814" w:rsidP="00B54814">
      <w:pPr>
        <w:spacing w:after="240"/>
        <w:jc w:val="both"/>
        <w:rPr>
          <w:rFonts w:asciiTheme="majorHAnsi" w:hAnsiTheme="majorHAnsi" w:cstheme="majorHAnsi"/>
          <w:sz w:val="20"/>
          <w:lang w:val="pl-PL"/>
        </w:rPr>
      </w:pPr>
      <w:r w:rsidRPr="00E13FF4">
        <w:rPr>
          <w:rFonts w:asciiTheme="majorHAnsi" w:hAnsiTheme="majorHAnsi" w:cstheme="majorHAnsi"/>
          <w:sz w:val="20"/>
          <w:lang w:val="pl-PL"/>
        </w:rPr>
        <w:t>Gestione delle risorse idriche</w:t>
      </w:r>
    </w:p>
    <w:p w14:paraId="6DCBEE63" w14:textId="77777777" w:rsidR="00B54814" w:rsidRPr="00E13FF4" w:rsidRDefault="00B54814" w:rsidP="00B54814">
      <w:pPr>
        <w:spacing w:after="240"/>
        <w:jc w:val="both"/>
        <w:rPr>
          <w:rFonts w:asciiTheme="majorHAnsi" w:hAnsiTheme="majorHAnsi" w:cstheme="majorHAnsi"/>
          <w:sz w:val="20"/>
          <w:lang w:val="pl-PL"/>
        </w:rPr>
      </w:pPr>
      <w:r w:rsidRPr="00E13FF4">
        <w:rPr>
          <w:rFonts w:asciiTheme="majorHAnsi" w:hAnsiTheme="majorHAnsi" w:cstheme="majorHAnsi"/>
          <w:sz w:val="20"/>
          <w:lang w:val="pl-PL"/>
        </w:rPr>
        <w:t>L'acqua è fondamentale. Quasi qualsiasi altra sostanza o materiale che fa parte dell'uso quotidiano può essere sostituita, ma non l'acqua. Intere industrie dipendono interamente da esso, dall'agricoltura alle merci alla produzione di beni di uso quotidiano.</w:t>
      </w:r>
      <w:r w:rsidRPr="00E13FF4">
        <w:rPr>
          <w:rStyle w:val="Odwoanieprzypisudolnego"/>
          <w:rFonts w:asciiTheme="majorHAnsi" w:hAnsiTheme="majorHAnsi" w:cstheme="majorHAnsi"/>
          <w:sz w:val="20"/>
        </w:rPr>
        <w:footnoteReference w:id="11"/>
      </w:r>
    </w:p>
    <w:p w14:paraId="43852E1F" w14:textId="77777777" w:rsidR="00B54814" w:rsidRPr="00E13FF4" w:rsidRDefault="00B54814" w:rsidP="00B54814">
      <w:pPr>
        <w:spacing w:after="240"/>
        <w:jc w:val="both"/>
        <w:rPr>
          <w:rFonts w:asciiTheme="majorHAnsi" w:hAnsiTheme="majorHAnsi" w:cstheme="majorHAnsi"/>
          <w:sz w:val="20"/>
          <w:lang w:val="pl-PL"/>
        </w:rPr>
      </w:pPr>
      <w:r w:rsidRPr="00E13FF4">
        <w:rPr>
          <w:rFonts w:asciiTheme="majorHAnsi" w:hAnsiTheme="majorHAnsi" w:cstheme="majorHAnsi"/>
          <w:sz w:val="20"/>
          <w:lang w:val="pl-PL"/>
        </w:rPr>
        <w:t>Da decenni una crisi idrica sembra sempre più probabile. Una cattiva gestione delle risorse idriche può diventare una delle maggiori sfide che la nostra popolazione abbia mai affrontato. L'industria più a rischio è l'agricoltura, che utilizza circa il 70% dell'acqua dolce mondiale. La crisi idrica in agricoltura colpisce non solo il settore alimentare e delle bevande, ma anche l'abbigliamento in cotone.</w:t>
      </w:r>
    </w:p>
    <w:p w14:paraId="6747334D" w14:textId="77777777" w:rsidR="00B54814" w:rsidRPr="00E13FF4" w:rsidRDefault="00B54814" w:rsidP="00B54814">
      <w:pPr>
        <w:pStyle w:val="Akapitzlist"/>
        <w:spacing w:after="240"/>
        <w:ind w:left="0"/>
        <w:jc w:val="both"/>
        <w:rPr>
          <w:rFonts w:asciiTheme="majorHAnsi" w:hAnsiTheme="majorHAnsi" w:cstheme="majorHAnsi"/>
          <w:sz w:val="20"/>
          <w:lang w:val="pl-PL"/>
        </w:rPr>
      </w:pPr>
      <w:r w:rsidRPr="00E13FF4">
        <w:rPr>
          <w:rFonts w:asciiTheme="majorHAnsi" w:hAnsiTheme="majorHAnsi" w:cstheme="majorHAnsi"/>
          <w:sz w:val="20"/>
          <w:lang w:val="pl-PL"/>
        </w:rPr>
        <w:t xml:space="preserve">L'acqua è utilizzata nel 90% della produzione energetica mondiale (estrazione di materie prime, turbine energetiche, raffreddamento dei processi termici ed emissioni di depurazione). </w:t>
      </w:r>
      <w:r w:rsidRPr="00E13FF4">
        <w:rPr>
          <w:rStyle w:val="Odwoanieprzypisudolnego"/>
          <w:rFonts w:asciiTheme="majorHAnsi" w:hAnsiTheme="majorHAnsi" w:cstheme="majorHAnsi"/>
          <w:sz w:val="20"/>
        </w:rPr>
        <w:footnoteReference w:id="12"/>
      </w:r>
    </w:p>
    <w:p w14:paraId="3187FB39" w14:textId="77777777" w:rsidR="008075C0" w:rsidRPr="00E13FF4" w:rsidRDefault="008075C0" w:rsidP="00B54814">
      <w:pPr>
        <w:pStyle w:val="Akapitzlist"/>
        <w:spacing w:after="240"/>
        <w:ind w:left="0"/>
        <w:jc w:val="both"/>
        <w:rPr>
          <w:rFonts w:asciiTheme="majorHAnsi" w:hAnsiTheme="majorHAnsi" w:cstheme="majorHAnsi"/>
          <w:sz w:val="20"/>
          <w:lang w:val="pl-PL"/>
        </w:rPr>
      </w:pPr>
    </w:p>
    <w:p w14:paraId="48BD82E9" w14:textId="77777777" w:rsidR="008075C0" w:rsidRPr="00E13FF4" w:rsidRDefault="008075C0" w:rsidP="008075C0">
      <w:pPr>
        <w:pStyle w:val="Akapitzlist"/>
        <w:spacing w:after="240"/>
        <w:jc w:val="both"/>
        <w:rPr>
          <w:rFonts w:asciiTheme="majorHAnsi" w:hAnsiTheme="majorHAnsi" w:cstheme="majorHAnsi"/>
          <w:sz w:val="20"/>
          <w:lang w:val="pl-PL"/>
        </w:rPr>
      </w:pPr>
    </w:p>
    <w:p w14:paraId="2954103E" w14:textId="77777777" w:rsidR="008075C0" w:rsidRPr="00E13FF4" w:rsidRDefault="008075C0" w:rsidP="008075C0">
      <w:pPr>
        <w:spacing w:after="240"/>
        <w:jc w:val="both"/>
        <w:rPr>
          <w:rFonts w:asciiTheme="majorHAnsi" w:hAnsiTheme="majorHAnsi" w:cstheme="majorHAnsi"/>
          <w:sz w:val="20"/>
          <w:lang w:val="pl-PL"/>
        </w:rPr>
      </w:pPr>
      <w:r w:rsidRPr="00E13FF4">
        <w:rPr>
          <w:rFonts w:asciiTheme="majorHAnsi" w:hAnsiTheme="majorHAnsi" w:cstheme="majorHAnsi"/>
          <w:sz w:val="20"/>
          <w:lang w:val="pl-PL"/>
        </w:rPr>
        <w:t>SLIDE 4</w:t>
      </w:r>
    </w:p>
    <w:p w14:paraId="18FFEE12" w14:textId="77777777" w:rsidR="008075C0" w:rsidRPr="00E13FF4" w:rsidRDefault="008075C0" w:rsidP="008075C0">
      <w:pPr>
        <w:spacing w:after="240"/>
        <w:jc w:val="both"/>
        <w:rPr>
          <w:rFonts w:asciiTheme="majorHAnsi" w:hAnsiTheme="majorHAnsi" w:cstheme="majorHAnsi"/>
          <w:sz w:val="20"/>
          <w:lang w:val="pl-PL"/>
        </w:rPr>
      </w:pPr>
      <w:r w:rsidRPr="00E13FF4">
        <w:rPr>
          <w:rFonts w:asciiTheme="majorHAnsi" w:hAnsiTheme="majorHAnsi" w:cstheme="majorHAnsi"/>
          <w:sz w:val="20"/>
          <w:lang w:val="pl-PL"/>
        </w:rPr>
        <w:t>Crisi climatica</w:t>
      </w:r>
    </w:p>
    <w:p w14:paraId="2D5CF052" w14:textId="77777777" w:rsidR="008075C0" w:rsidRPr="00E13FF4" w:rsidRDefault="008075C0" w:rsidP="008075C0">
      <w:pPr>
        <w:pStyle w:val="Akapitzlist"/>
        <w:spacing w:after="240"/>
        <w:jc w:val="both"/>
        <w:rPr>
          <w:rFonts w:asciiTheme="majorHAnsi" w:hAnsiTheme="majorHAnsi" w:cstheme="majorHAnsi"/>
          <w:sz w:val="20"/>
          <w:lang w:val="pl-PL"/>
        </w:rPr>
      </w:pPr>
    </w:p>
    <w:p w14:paraId="617C5413" w14:textId="77777777" w:rsidR="008075C0" w:rsidRPr="00E13FF4" w:rsidRDefault="002E3D86" w:rsidP="008075C0">
      <w:pPr>
        <w:pStyle w:val="Akapitzlist"/>
        <w:spacing w:after="240"/>
        <w:ind w:left="0"/>
        <w:jc w:val="both"/>
        <w:rPr>
          <w:rFonts w:asciiTheme="majorHAnsi" w:hAnsiTheme="majorHAnsi" w:cstheme="majorHAnsi"/>
          <w:sz w:val="20"/>
          <w:lang w:val="pl-PL"/>
        </w:rPr>
      </w:pPr>
      <w:r w:rsidRPr="00E13FF4">
        <w:rPr>
          <w:rFonts w:asciiTheme="majorHAnsi" w:hAnsiTheme="majorHAnsi" w:cstheme="majorHAnsi"/>
          <w:sz w:val="20"/>
          <w:lang w:val="pl-PL"/>
        </w:rPr>
        <w:t>Il cambiamento climatico è considerato la sfida più grande che le persone devono affrontare oggi. L'aumento della temperatura media nell'ultimo secolo (vedi Figura 12) è significativo, sebbene alcuni stiano ancora discutendo dell'impatto umano sui cambiamenti climatici, l'IPCC (Intergovernmental Panel on Climate Change) e tutte le principali economie sostengono l'affermazione che le azioni umane hanno causato la maggior parte di questi cambiamenti a causa della produzione di gas serra.</w:t>
      </w:r>
    </w:p>
    <w:p w14:paraId="79B25862" w14:textId="77777777" w:rsidR="00FF6B90" w:rsidRPr="00E13FF4" w:rsidRDefault="006C159C" w:rsidP="005E155F">
      <w:pPr>
        <w:spacing w:after="0"/>
        <w:rPr>
          <w:rFonts w:asciiTheme="majorHAnsi" w:hAnsiTheme="majorHAnsi" w:cstheme="majorHAnsi"/>
          <w:sz w:val="20"/>
          <w:lang w:val="pl-PL"/>
        </w:rPr>
      </w:pPr>
      <w:r w:rsidRPr="00E13FF4">
        <w:rPr>
          <w:rFonts w:asciiTheme="majorHAnsi" w:hAnsiTheme="majorHAnsi" w:cstheme="majorHAnsi"/>
          <w:noProof/>
          <w:lang w:eastAsia="en-GB"/>
        </w:rPr>
        <w:drawing>
          <wp:anchor distT="0" distB="0" distL="114300" distR="114300" simplePos="0" relativeHeight="251793408" behindDoc="0" locked="0" layoutInCell="1" allowOverlap="1" wp14:anchorId="6BDB5FE5" wp14:editId="59FAC448">
            <wp:simplePos x="0" y="0"/>
            <wp:positionH relativeFrom="margin">
              <wp:posOffset>0</wp:posOffset>
            </wp:positionH>
            <wp:positionV relativeFrom="paragraph">
              <wp:posOffset>58983</wp:posOffset>
            </wp:positionV>
            <wp:extent cx="4572000" cy="2743200"/>
            <wp:effectExtent l="0" t="0" r="0" b="0"/>
            <wp:wrapNone/>
            <wp:docPr id="2" name="Chart 2">
              <a:extLst xmlns:a="http://schemas.openxmlformats.org/drawingml/2006/main">
                <a:ext uri="{FF2B5EF4-FFF2-40B4-BE49-F238E27FC236}">
                  <a16:creationId xmlns:a16="http://schemas.microsoft.com/office/drawing/2014/main" id="{A144CEE3-764B-4C98-80A3-2D770126EA1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anchor>
        </w:drawing>
      </w:r>
    </w:p>
    <w:p w14:paraId="49F58EA1" w14:textId="77777777" w:rsidR="005E155F" w:rsidRPr="00E13FF4" w:rsidRDefault="005E155F" w:rsidP="005E155F">
      <w:pPr>
        <w:spacing w:after="0"/>
        <w:rPr>
          <w:rFonts w:asciiTheme="majorHAnsi" w:hAnsiTheme="majorHAnsi" w:cstheme="majorHAnsi"/>
          <w:sz w:val="20"/>
          <w:lang w:val="pl-PL"/>
        </w:rPr>
      </w:pPr>
    </w:p>
    <w:p w14:paraId="6C6D8709" w14:textId="77777777" w:rsidR="00FF6B90" w:rsidRPr="00E13FF4" w:rsidRDefault="00FF6B90" w:rsidP="005E155F">
      <w:pPr>
        <w:spacing w:after="0"/>
        <w:rPr>
          <w:rFonts w:asciiTheme="majorHAnsi" w:hAnsiTheme="majorHAnsi" w:cstheme="majorHAnsi"/>
          <w:sz w:val="20"/>
          <w:lang w:val="pl-PL"/>
        </w:rPr>
      </w:pPr>
    </w:p>
    <w:p w14:paraId="40E24839" w14:textId="77777777" w:rsidR="00FF6B90" w:rsidRPr="00E13FF4" w:rsidRDefault="00FF6B90" w:rsidP="005E155F">
      <w:pPr>
        <w:spacing w:after="0"/>
        <w:rPr>
          <w:rFonts w:asciiTheme="majorHAnsi" w:hAnsiTheme="majorHAnsi" w:cstheme="majorHAnsi"/>
          <w:sz w:val="20"/>
          <w:lang w:val="pl-PL"/>
        </w:rPr>
      </w:pPr>
    </w:p>
    <w:p w14:paraId="43F99889" w14:textId="77777777" w:rsidR="00FF6B90" w:rsidRPr="00E13FF4" w:rsidRDefault="00FF6B90" w:rsidP="005E155F">
      <w:pPr>
        <w:spacing w:after="0"/>
        <w:rPr>
          <w:rFonts w:asciiTheme="majorHAnsi" w:hAnsiTheme="majorHAnsi" w:cstheme="majorHAnsi"/>
          <w:sz w:val="20"/>
          <w:lang w:val="pl-PL"/>
        </w:rPr>
      </w:pPr>
    </w:p>
    <w:p w14:paraId="595D93D6" w14:textId="77777777" w:rsidR="00FF6B90" w:rsidRPr="00E13FF4" w:rsidRDefault="00FF6B90" w:rsidP="005E155F">
      <w:pPr>
        <w:spacing w:after="0"/>
        <w:rPr>
          <w:rFonts w:asciiTheme="majorHAnsi" w:hAnsiTheme="majorHAnsi" w:cstheme="majorHAnsi"/>
          <w:sz w:val="20"/>
          <w:lang w:val="pl-PL"/>
        </w:rPr>
      </w:pPr>
    </w:p>
    <w:p w14:paraId="75FD714D" w14:textId="77777777" w:rsidR="00FF6B90" w:rsidRPr="00E13FF4" w:rsidRDefault="00FF6B90" w:rsidP="005E155F">
      <w:pPr>
        <w:spacing w:after="0"/>
        <w:rPr>
          <w:rFonts w:asciiTheme="majorHAnsi" w:hAnsiTheme="majorHAnsi" w:cstheme="majorHAnsi"/>
          <w:sz w:val="20"/>
          <w:lang w:val="pl-PL"/>
        </w:rPr>
      </w:pPr>
    </w:p>
    <w:p w14:paraId="16F07AC8" w14:textId="77777777" w:rsidR="00FF6B90" w:rsidRPr="00E13FF4" w:rsidRDefault="00FF6B90" w:rsidP="005E155F">
      <w:pPr>
        <w:spacing w:after="0"/>
        <w:rPr>
          <w:rFonts w:asciiTheme="majorHAnsi" w:hAnsiTheme="majorHAnsi" w:cstheme="majorHAnsi"/>
          <w:sz w:val="20"/>
          <w:lang w:val="pl-PL"/>
        </w:rPr>
      </w:pPr>
    </w:p>
    <w:p w14:paraId="22A2FC09" w14:textId="77777777" w:rsidR="00FF6B90" w:rsidRPr="00E13FF4" w:rsidRDefault="00FF6B90" w:rsidP="005E155F">
      <w:pPr>
        <w:spacing w:after="0"/>
        <w:rPr>
          <w:rFonts w:asciiTheme="majorHAnsi" w:hAnsiTheme="majorHAnsi" w:cstheme="majorHAnsi"/>
          <w:sz w:val="20"/>
          <w:lang w:val="pl-PL"/>
        </w:rPr>
      </w:pPr>
    </w:p>
    <w:p w14:paraId="61ABB3A5" w14:textId="77777777" w:rsidR="00FF6B90" w:rsidRPr="00E13FF4" w:rsidRDefault="00FF6B90" w:rsidP="005E155F">
      <w:pPr>
        <w:spacing w:after="0"/>
        <w:rPr>
          <w:rFonts w:asciiTheme="majorHAnsi" w:hAnsiTheme="majorHAnsi" w:cstheme="majorHAnsi"/>
          <w:sz w:val="20"/>
          <w:lang w:val="pl-PL"/>
        </w:rPr>
      </w:pPr>
    </w:p>
    <w:p w14:paraId="13179AA2" w14:textId="77777777" w:rsidR="00FF6B90" w:rsidRPr="00E13FF4" w:rsidRDefault="00FF6B90" w:rsidP="005E155F">
      <w:pPr>
        <w:spacing w:after="0"/>
        <w:rPr>
          <w:rFonts w:asciiTheme="majorHAnsi" w:hAnsiTheme="majorHAnsi" w:cstheme="majorHAnsi"/>
          <w:sz w:val="20"/>
          <w:lang w:val="pl-PL"/>
        </w:rPr>
      </w:pPr>
    </w:p>
    <w:p w14:paraId="0B93FC97" w14:textId="77777777" w:rsidR="00FF6B90" w:rsidRPr="00E13FF4" w:rsidRDefault="00FF6B90" w:rsidP="005E155F">
      <w:pPr>
        <w:spacing w:after="0"/>
        <w:rPr>
          <w:rFonts w:asciiTheme="majorHAnsi" w:hAnsiTheme="majorHAnsi" w:cstheme="majorHAnsi"/>
          <w:sz w:val="20"/>
          <w:lang w:val="pl-PL"/>
        </w:rPr>
      </w:pPr>
    </w:p>
    <w:p w14:paraId="474DE820" w14:textId="77777777" w:rsidR="00FF6B90" w:rsidRPr="00E13FF4" w:rsidRDefault="00FF6B90" w:rsidP="005E155F">
      <w:pPr>
        <w:spacing w:after="0"/>
        <w:rPr>
          <w:rFonts w:asciiTheme="majorHAnsi" w:hAnsiTheme="majorHAnsi" w:cstheme="majorHAnsi"/>
          <w:sz w:val="20"/>
          <w:lang w:val="pl-PL"/>
        </w:rPr>
      </w:pPr>
    </w:p>
    <w:p w14:paraId="12CEE11B" w14:textId="77777777" w:rsidR="00FF6B90" w:rsidRPr="00E13FF4" w:rsidRDefault="00FF6B90" w:rsidP="005E155F">
      <w:pPr>
        <w:spacing w:after="0"/>
        <w:rPr>
          <w:rFonts w:asciiTheme="majorHAnsi" w:hAnsiTheme="majorHAnsi" w:cstheme="majorHAnsi"/>
          <w:sz w:val="20"/>
          <w:lang w:val="pl-PL"/>
        </w:rPr>
      </w:pPr>
    </w:p>
    <w:p w14:paraId="259E753E" w14:textId="77777777" w:rsidR="00FF6B90" w:rsidRPr="00E13FF4" w:rsidRDefault="00FF6B90" w:rsidP="005E155F">
      <w:pPr>
        <w:spacing w:after="0"/>
        <w:rPr>
          <w:rFonts w:asciiTheme="majorHAnsi" w:hAnsiTheme="majorHAnsi" w:cstheme="majorHAnsi"/>
          <w:sz w:val="20"/>
          <w:lang w:val="pl-PL"/>
        </w:rPr>
      </w:pPr>
    </w:p>
    <w:p w14:paraId="4B049A59" w14:textId="77777777" w:rsidR="00FF6B90" w:rsidRPr="00E13FF4" w:rsidRDefault="00FF6B90" w:rsidP="005E155F">
      <w:pPr>
        <w:spacing w:after="0"/>
        <w:rPr>
          <w:rFonts w:asciiTheme="majorHAnsi" w:hAnsiTheme="majorHAnsi" w:cstheme="majorHAnsi"/>
          <w:sz w:val="20"/>
          <w:lang w:val="pl-PL"/>
        </w:rPr>
      </w:pPr>
    </w:p>
    <w:p w14:paraId="0AA22579" w14:textId="77777777" w:rsidR="006C159C" w:rsidRPr="00E13FF4" w:rsidRDefault="006C159C" w:rsidP="005E155F">
      <w:pPr>
        <w:spacing w:after="0"/>
        <w:rPr>
          <w:rFonts w:asciiTheme="majorHAnsi" w:hAnsiTheme="majorHAnsi" w:cstheme="majorHAnsi"/>
          <w:sz w:val="20"/>
          <w:lang w:val="pl-PL"/>
        </w:rPr>
      </w:pPr>
      <w:r w:rsidRPr="00E13FF4">
        <w:rPr>
          <w:rFonts w:asciiTheme="majorHAnsi" w:hAnsiTheme="majorHAnsi" w:cstheme="majorHAnsi"/>
          <w:noProof/>
          <w:lang w:eastAsia="en-GB"/>
        </w:rPr>
        <mc:AlternateContent>
          <mc:Choice Requires="wps">
            <w:drawing>
              <wp:anchor distT="0" distB="0" distL="114300" distR="114300" simplePos="0" relativeHeight="251795456" behindDoc="0" locked="0" layoutInCell="1" allowOverlap="1" wp14:anchorId="0448F42C" wp14:editId="7DCBF2AE">
                <wp:simplePos x="0" y="0"/>
                <wp:positionH relativeFrom="column">
                  <wp:posOffset>0</wp:posOffset>
                </wp:positionH>
                <wp:positionV relativeFrom="paragraph">
                  <wp:posOffset>47697</wp:posOffset>
                </wp:positionV>
                <wp:extent cx="4826000" cy="318135"/>
                <wp:effectExtent l="0" t="0" r="0" b="5715"/>
                <wp:wrapNone/>
                <wp:docPr id="66" name="Text Box 66"/>
                <wp:cNvGraphicFramePr/>
                <a:graphic xmlns:a="http://schemas.openxmlformats.org/drawingml/2006/main">
                  <a:graphicData uri="http://schemas.microsoft.com/office/word/2010/wordprocessingShape">
                    <wps:wsp>
                      <wps:cNvSpPr txBox="1"/>
                      <wps:spPr>
                        <a:xfrm>
                          <a:off x="0" y="0"/>
                          <a:ext cx="4826000" cy="318135"/>
                        </a:xfrm>
                        <a:prstGeom prst="rect">
                          <a:avLst/>
                        </a:prstGeom>
                        <a:solidFill>
                          <a:prstClr val="white"/>
                        </a:solidFill>
                        <a:ln>
                          <a:noFill/>
                        </a:ln>
                      </wps:spPr>
                      <wps:txbx>
                        <w:txbxContent>
                          <w:p w14:paraId="1D659717" w14:textId="77777777" w:rsidR="006C159C" w:rsidRDefault="006C159C" w:rsidP="006C159C">
                            <w:pPr>
                              <w:pStyle w:val="Legenda"/>
                              <w:spacing w:after="0"/>
                            </w:pPr>
                            <w:r>
                              <w:t>Figura 12. Temperatura superficiale media globale</w:t>
                            </w:r>
                          </w:p>
                          <w:p w14:paraId="5D6211EA" w14:textId="77777777" w:rsidR="006C159C" w:rsidRPr="008F14FA" w:rsidRDefault="006C159C" w:rsidP="006C159C">
                            <w:pPr>
                              <w:pStyle w:val="Legenda"/>
                              <w:spacing w:after="0"/>
                              <w:rPr>
                                <w:noProof/>
                              </w:rPr>
                            </w:pPr>
                            <w:r>
                              <w:t xml:space="preserve">Fonte: </w:t>
                            </w:r>
                            <w:hyperlink r:id="rId35" w:history="1">
                              <w:r>
                                <w:rPr>
                                  <w:rStyle w:val="Hipercze"/>
                                </w:rPr>
                                <w:t>https://earthobservatory.nasa.gov/features/GlobalWarming/page2.php</w:t>
                              </w:r>
                            </w:hyperlink>
                            <w:r>
                              <w:t xml:space="preserve"> (05/11/2019)</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48F42C" id="Text Box 66" o:spid="_x0000_s1036" type="#_x0000_t202" style="position:absolute;margin-left:0;margin-top:3.75pt;width:380pt;height:25.0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" stroked="f">
                <v:textbox inset="0,0,0,0">
                  <w:txbxContent>
                    <w:p w14:paraId="1D659717" w14:textId="77777777" w:rsidR="006C159C" w:rsidRDefault="006C159C" w:rsidP="006C159C">
                      <w:pPr>
                        <w:pStyle w:val="Legenda"/>
                        <w:spacing w:after="0"/>
                      </w:pPr>
                      <w:r>
                        <w:t>Figura 12. Temperatura superficiale media globale</w:t>
                      </w:r>
                    </w:p>
                    <w:p w14:paraId="5D6211EA" w14:textId="77777777" w:rsidR="006C159C" w:rsidRPr="008F14FA" w:rsidRDefault="006C159C" w:rsidP="006C159C">
                      <w:pPr>
                        <w:pStyle w:val="Legenda"/>
                        <w:spacing w:after="0"/>
                        <w:rPr>
                          <w:noProof/>
                        </w:rPr>
                      </w:pPr>
                      <w:r>
                        <w:t xml:space="preserve">Fonte: </w:t>
                      </w:r>
                      <w:hyperlink r:id="rId36" w:history="1">
                        <w:r>
                          <w:rPr>
                            <w:rStyle w:val="Hipercze"/>
                          </w:rPr>
                          <w:t>https://earthobservatory.nasa.gov/features/GlobalWarming/page2.php</w:t>
                        </w:r>
                      </w:hyperlink>
                      <w:r>
                        <w:t xml:space="preserve"> (05/11/2019)</w:t>
                      </w:r>
                    </w:p>
                  </w:txbxContent>
                </v:textbox>
              </v:shape>
            </w:pict>
          </mc:Fallback>
        </mc:AlternateContent>
      </w:r>
    </w:p>
    <w:p w14:paraId="09843DF8" w14:textId="77777777" w:rsidR="006C159C" w:rsidRPr="00E13FF4" w:rsidRDefault="006C159C" w:rsidP="005E155F">
      <w:pPr>
        <w:spacing w:after="0"/>
        <w:rPr>
          <w:rFonts w:asciiTheme="majorHAnsi" w:hAnsiTheme="majorHAnsi" w:cstheme="majorHAnsi"/>
          <w:sz w:val="20"/>
          <w:lang w:val="pl-PL"/>
        </w:rPr>
      </w:pPr>
    </w:p>
    <w:p w14:paraId="314A109C" w14:textId="77777777" w:rsidR="006C159C" w:rsidRPr="00E13FF4" w:rsidRDefault="006C159C" w:rsidP="005E155F">
      <w:pPr>
        <w:spacing w:after="0"/>
        <w:rPr>
          <w:rFonts w:asciiTheme="majorHAnsi" w:hAnsiTheme="majorHAnsi" w:cstheme="majorHAnsi"/>
          <w:sz w:val="20"/>
          <w:lang w:val="pl-PL"/>
        </w:rPr>
      </w:pPr>
    </w:p>
    <w:p w14:paraId="016C0F63" w14:textId="77777777" w:rsidR="002E3D86" w:rsidRPr="00E13FF4" w:rsidRDefault="002E3D86" w:rsidP="006C159C">
      <w:pPr>
        <w:spacing w:after="0"/>
        <w:rPr>
          <w:rFonts w:asciiTheme="majorHAnsi" w:hAnsiTheme="majorHAnsi" w:cstheme="majorHAnsi"/>
          <w:sz w:val="20"/>
          <w:lang w:val="pl-PL"/>
        </w:rPr>
      </w:pPr>
      <w:r w:rsidRPr="00E13FF4">
        <w:rPr>
          <w:rFonts w:asciiTheme="majorHAnsi" w:hAnsiTheme="majorHAnsi" w:cstheme="majorHAnsi"/>
          <w:sz w:val="20"/>
          <w:lang w:val="pl-PL"/>
        </w:rPr>
        <w:t>Secondo l'ultimo rapporto completo dell'IPCC disponibile (2014), ci sono diversi scenari per la CO2 e quindi la variazione di temperatura. Nello scenario peggiore (emissioni massime), la temperatura superficiale media aumenterebbe di 4 ° C entro il 2100. Nello scenario più ottimistico, la temperatura superficiale aumenterebbe di 1 ° entro il 2100.</w:t>
      </w:r>
    </w:p>
    <w:p w14:paraId="2996ECDB" w14:textId="77777777" w:rsidR="00F5728B" w:rsidRPr="00E13FF4" w:rsidRDefault="00F5728B" w:rsidP="005E155F">
      <w:pPr>
        <w:spacing w:after="0"/>
        <w:rPr>
          <w:rFonts w:asciiTheme="majorHAnsi" w:hAnsiTheme="majorHAnsi" w:cstheme="majorHAnsi"/>
          <w:sz w:val="20"/>
          <w:lang w:val="pl-PL"/>
        </w:rPr>
      </w:pPr>
    </w:p>
    <w:p w14:paraId="1E0967A0" w14:textId="77777777" w:rsidR="002E3D86" w:rsidRPr="00E13FF4" w:rsidRDefault="002E3D86" w:rsidP="002E3D86">
      <w:pPr>
        <w:rPr>
          <w:rFonts w:asciiTheme="majorHAnsi" w:hAnsiTheme="majorHAnsi" w:cstheme="majorHAnsi"/>
          <w:sz w:val="20"/>
          <w:lang w:val="pl-PL"/>
        </w:rPr>
      </w:pPr>
      <w:r w:rsidRPr="00E13FF4">
        <w:rPr>
          <w:rFonts w:asciiTheme="majorHAnsi" w:hAnsiTheme="majorHAnsi" w:cstheme="majorHAnsi"/>
          <w:sz w:val="20"/>
          <w:lang w:val="pl-PL"/>
        </w:rPr>
        <w:t>SLIDE 5</w:t>
      </w:r>
    </w:p>
    <w:p w14:paraId="69D930D6" w14:textId="77777777" w:rsidR="002E3D86" w:rsidRPr="00E13FF4" w:rsidRDefault="002E3D86" w:rsidP="002E3D86">
      <w:pPr>
        <w:rPr>
          <w:rFonts w:asciiTheme="majorHAnsi" w:hAnsiTheme="majorHAnsi" w:cstheme="majorHAnsi"/>
          <w:sz w:val="20"/>
          <w:lang w:val="pl-PL"/>
        </w:rPr>
      </w:pPr>
      <w:r w:rsidRPr="00E13FF4">
        <w:rPr>
          <w:rFonts w:asciiTheme="majorHAnsi" w:hAnsiTheme="majorHAnsi" w:cstheme="majorHAnsi"/>
          <w:sz w:val="20"/>
          <w:lang w:val="pl-PL"/>
        </w:rPr>
        <w:t>Consumo energetico efficiente</w:t>
      </w:r>
    </w:p>
    <w:p w14:paraId="4C3383C8" w14:textId="77777777" w:rsidR="002E3D86" w:rsidRPr="00E13FF4" w:rsidRDefault="002E3D86" w:rsidP="002E3D86">
      <w:pPr>
        <w:rPr>
          <w:rFonts w:asciiTheme="majorHAnsi" w:hAnsiTheme="majorHAnsi" w:cstheme="majorHAnsi"/>
          <w:sz w:val="20"/>
          <w:lang w:val="pl-PL"/>
        </w:rPr>
      </w:pPr>
    </w:p>
    <w:p w14:paraId="6F535F61" w14:textId="77777777" w:rsidR="002E3D86" w:rsidRPr="00E13FF4" w:rsidRDefault="002E3D86" w:rsidP="002E3D86">
      <w:pPr>
        <w:rPr>
          <w:rFonts w:asciiTheme="majorHAnsi" w:hAnsiTheme="majorHAnsi" w:cstheme="majorHAnsi"/>
          <w:sz w:val="20"/>
          <w:lang w:val="pl-PL"/>
        </w:rPr>
      </w:pPr>
      <w:r w:rsidRPr="00E13FF4">
        <w:rPr>
          <w:rFonts w:asciiTheme="majorHAnsi" w:hAnsiTheme="majorHAnsi" w:cstheme="majorHAnsi"/>
          <w:sz w:val="20"/>
          <w:lang w:val="pl-PL"/>
        </w:rPr>
        <w:t>L'uso efficiente dell'energia, noto come efficienza energetica, significa utilizzare meno energia per garantire lo stesso livello di servizi energetici. Secondo l'Agenzia internazionale dell'energia, edifici, processi industriali e trasporti efficienti dal punto di vista energetico potrebbero ridurre di un terzo la domanda globale di energia nel 2050 e aiutare a controllare le emissioni globali di gas serra.</w:t>
      </w:r>
    </w:p>
    <w:p w14:paraId="6C7EF044" w14:textId="77777777" w:rsidR="002E3D86" w:rsidRPr="00E13FF4" w:rsidRDefault="002E3D86" w:rsidP="002E3D86">
      <w:pPr>
        <w:rPr>
          <w:rFonts w:asciiTheme="majorHAnsi" w:hAnsiTheme="majorHAnsi" w:cstheme="majorHAnsi"/>
          <w:sz w:val="20"/>
          <w:lang w:val="pl-PL"/>
        </w:rPr>
      </w:pPr>
      <w:r w:rsidRPr="00E13FF4">
        <w:rPr>
          <w:rFonts w:asciiTheme="majorHAnsi" w:hAnsiTheme="majorHAnsi" w:cstheme="majorHAnsi"/>
          <w:sz w:val="20"/>
          <w:lang w:val="pl-PL"/>
        </w:rPr>
        <w:t xml:space="preserve">Migliorare l'efficienza energetica di case, veicoli e aziende è visto come una soluzione in gran parte inutilizzata ai problemi di inquinamento, riscaldamento globale, sicurezza energetica e esaurimento dei combustibili fossili. </w:t>
      </w:r>
      <w:r w:rsidRPr="00E13FF4">
        <w:rPr>
          <w:rStyle w:val="Odwoanieprzypisudolnego"/>
          <w:rFonts w:asciiTheme="majorHAnsi" w:hAnsiTheme="majorHAnsi" w:cstheme="majorHAnsi"/>
          <w:sz w:val="20"/>
        </w:rPr>
        <w:footnoteReference w:id="13"/>
      </w:r>
    </w:p>
    <w:p w14:paraId="5CD44D6C" w14:textId="77777777" w:rsidR="002E3D86" w:rsidRPr="00E13FF4" w:rsidRDefault="002E3D86" w:rsidP="002E3D86">
      <w:pPr>
        <w:rPr>
          <w:rFonts w:asciiTheme="majorHAnsi" w:hAnsiTheme="majorHAnsi" w:cstheme="majorHAnsi"/>
          <w:sz w:val="20"/>
          <w:lang w:val="pl-PL"/>
        </w:rPr>
      </w:pPr>
    </w:p>
    <w:p w14:paraId="57AB17A7" w14:textId="77777777" w:rsidR="006C159C" w:rsidRPr="00E13FF4" w:rsidRDefault="002E3D86" w:rsidP="002E3D86">
      <w:pPr>
        <w:rPr>
          <w:rFonts w:asciiTheme="majorHAnsi" w:hAnsiTheme="majorHAnsi" w:cstheme="majorHAnsi"/>
          <w:sz w:val="20"/>
          <w:lang w:val="pl-PL"/>
        </w:rPr>
      </w:pPr>
      <w:r w:rsidRPr="00E13FF4">
        <w:rPr>
          <w:rFonts w:asciiTheme="majorHAnsi" w:hAnsiTheme="majorHAnsi" w:cstheme="majorHAnsi"/>
          <w:sz w:val="20"/>
          <w:lang w:val="pl-PL"/>
        </w:rPr>
        <w:t>Apparecchi moderni come congelatori, forni, cucine, lavastoviglie e lavatrici e asciugatrici consumano molta meno energia rispetto agli apparecchi più vecchi.</w:t>
      </w:r>
      <w:r w:rsidRPr="00E13FF4">
        <w:rPr>
          <w:rStyle w:val="Odwoanieprzypisudolnego"/>
          <w:rFonts w:asciiTheme="majorHAnsi" w:hAnsiTheme="majorHAnsi" w:cstheme="majorHAnsi"/>
          <w:color w:val="222222"/>
          <w:sz w:val="21"/>
          <w:szCs w:val="21"/>
          <w:shd w:val="clear" w:color="auto" w:fill="FFFFFF"/>
          <w:lang w:val="pl-PL"/>
        </w:rPr>
        <w:t xml:space="preserve"> </w:t>
      </w:r>
      <w:r w:rsidRPr="00E13FF4">
        <w:rPr>
          <w:rStyle w:val="Odwoanieprzypisudolnego"/>
          <w:rFonts w:asciiTheme="majorHAnsi" w:hAnsiTheme="majorHAnsi" w:cstheme="majorHAnsi"/>
          <w:color w:val="222222"/>
          <w:sz w:val="21"/>
          <w:szCs w:val="21"/>
          <w:shd w:val="clear" w:color="auto" w:fill="FFFFFF"/>
        </w:rPr>
        <w:footnoteReference w:id="14"/>
      </w:r>
      <w:r w:rsidR="006C159C" w:rsidRPr="00E13FF4">
        <w:rPr>
          <w:rFonts w:asciiTheme="majorHAnsi" w:hAnsiTheme="majorHAnsi" w:cstheme="majorHAnsi"/>
          <w:sz w:val="20"/>
          <w:lang w:val="pl-PL"/>
        </w:rPr>
        <w:br w:type="page"/>
      </w:r>
    </w:p>
    <w:p w14:paraId="59B73F54" w14:textId="77777777" w:rsidR="00383812" w:rsidRPr="00E13FF4" w:rsidRDefault="00383812" w:rsidP="00383812">
      <w:pPr>
        <w:spacing w:after="240"/>
        <w:jc w:val="both"/>
        <w:rPr>
          <w:rFonts w:asciiTheme="majorHAnsi" w:hAnsiTheme="majorHAnsi" w:cstheme="majorHAnsi"/>
          <w:sz w:val="20"/>
          <w:lang w:val="pl-PL"/>
        </w:rPr>
      </w:pPr>
      <w:r w:rsidRPr="00E13FF4">
        <w:rPr>
          <w:rFonts w:asciiTheme="majorHAnsi" w:hAnsiTheme="majorHAnsi" w:cstheme="majorHAnsi"/>
          <w:sz w:val="20"/>
          <w:lang w:val="pl-PL"/>
        </w:rPr>
        <w:lastRenderedPageBreak/>
        <w:t>• LO3: obiettivi di sviluppo sostenibile</w:t>
      </w:r>
    </w:p>
    <w:p w14:paraId="6605554D" w14:textId="77777777" w:rsidR="00383812" w:rsidRPr="00E13FF4" w:rsidRDefault="00383812" w:rsidP="00383812">
      <w:pPr>
        <w:spacing w:after="0"/>
        <w:jc w:val="both"/>
        <w:rPr>
          <w:rFonts w:asciiTheme="majorHAnsi" w:hAnsiTheme="majorHAnsi" w:cstheme="majorHAnsi"/>
          <w:sz w:val="20"/>
          <w:lang w:val="pl-PL"/>
        </w:rPr>
      </w:pPr>
      <w:r w:rsidRPr="00E13FF4">
        <w:rPr>
          <w:rFonts w:asciiTheme="majorHAnsi" w:hAnsiTheme="majorHAnsi" w:cstheme="majorHAnsi"/>
          <w:sz w:val="20"/>
          <w:lang w:val="pl-PL"/>
        </w:rPr>
        <w:t>SLIDE 1</w:t>
      </w:r>
    </w:p>
    <w:p w14:paraId="75A6585D" w14:textId="77777777" w:rsidR="00383812" w:rsidRPr="00E13FF4" w:rsidRDefault="00383812" w:rsidP="00E42F88">
      <w:pPr>
        <w:pStyle w:val="Akapitzlist"/>
        <w:spacing w:after="240"/>
        <w:ind w:left="0"/>
        <w:jc w:val="both"/>
        <w:rPr>
          <w:rFonts w:asciiTheme="majorHAnsi" w:hAnsiTheme="majorHAnsi" w:cstheme="majorHAnsi"/>
          <w:sz w:val="20"/>
          <w:lang w:val="pl-PL"/>
        </w:rPr>
      </w:pPr>
      <w:r w:rsidRPr="00E13FF4">
        <w:rPr>
          <w:rFonts w:asciiTheme="majorHAnsi" w:hAnsiTheme="majorHAnsi" w:cstheme="majorHAnsi"/>
          <w:sz w:val="20"/>
          <w:lang w:val="pl-PL"/>
        </w:rPr>
        <w:t>Gli obiettivi di sviluppo sostenibile sono stati fissati dalle Nazioni Unite a New York nel 2015. L'organizzazione ha creato 17 obiettivi e ogni obiettivo ha i propri obiettivi con tecniche di misurazione appropriate. Secondo le Nazioni Unite, il mondo dovrebbe raggiungere questi obiettivi entro il 2030. Ci sono un totale di 169 obiettivi, ciascuno con 1-3 indicatori.</w:t>
      </w:r>
    </w:p>
    <w:p w14:paraId="0998EF7C" w14:textId="77777777" w:rsidR="0085180E" w:rsidRPr="00E13FF4" w:rsidRDefault="000932B7" w:rsidP="0085180E">
      <w:pPr>
        <w:spacing w:after="0"/>
        <w:jc w:val="both"/>
        <w:rPr>
          <w:rFonts w:asciiTheme="majorHAnsi" w:hAnsiTheme="majorHAnsi" w:cstheme="majorHAnsi"/>
          <w:sz w:val="20"/>
          <w:lang w:val="pl-PL"/>
        </w:rPr>
      </w:pPr>
      <w:r w:rsidRPr="00E13FF4">
        <w:rPr>
          <w:rFonts w:asciiTheme="majorHAnsi" w:hAnsiTheme="majorHAnsi" w:cstheme="majorHAnsi"/>
          <w:noProof/>
          <w:lang w:eastAsia="en-GB"/>
        </w:rPr>
        <w:drawing>
          <wp:anchor distT="0" distB="0" distL="114300" distR="114300" simplePos="0" relativeHeight="251710464" behindDoc="0" locked="0" layoutInCell="1" allowOverlap="1" wp14:anchorId="1429EDFB" wp14:editId="279B77E6">
            <wp:simplePos x="0" y="0"/>
            <wp:positionH relativeFrom="column">
              <wp:posOffset>0</wp:posOffset>
            </wp:positionH>
            <wp:positionV relativeFrom="paragraph">
              <wp:posOffset>106680</wp:posOffset>
            </wp:positionV>
            <wp:extent cx="4749800" cy="2559050"/>
            <wp:effectExtent l="0" t="0" r="0" b="0"/>
            <wp:wrapThrough wrapText="bothSides">
              <wp:wrapPolygon edited="0">
                <wp:start x="0" y="0"/>
                <wp:lineTo x="0" y="21386"/>
                <wp:lineTo x="21484" y="21386"/>
                <wp:lineTo x="21484"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extLst>
                        <a:ext uri="{28A0092B-C50C-407E-A947-70E740481C1C}">
                          <a14:useLocalDpi xmlns:a14="http://schemas.microsoft.com/office/drawing/2010/main" val="0"/>
                        </a:ext>
                      </a:extLst>
                    </a:blip>
                    <a:stretch>
                      <a:fillRect/>
                    </a:stretch>
                  </pic:blipFill>
                  <pic:spPr>
                    <a:xfrm>
                      <a:off x="0" y="0"/>
                      <a:ext cx="4749800" cy="2559050"/>
                    </a:xfrm>
                    <a:prstGeom prst="rect">
                      <a:avLst/>
                    </a:prstGeom>
                  </pic:spPr>
                </pic:pic>
              </a:graphicData>
            </a:graphic>
            <wp14:sizeRelH relativeFrom="margin">
              <wp14:pctWidth>0</wp14:pctWidth>
            </wp14:sizeRelH>
            <wp14:sizeRelV relativeFrom="margin">
              <wp14:pctHeight>0</wp14:pctHeight>
            </wp14:sizeRelV>
          </wp:anchor>
        </w:drawing>
      </w:r>
    </w:p>
    <w:p w14:paraId="4B2819B9" w14:textId="77777777" w:rsidR="0085180E" w:rsidRPr="00E13FF4" w:rsidRDefault="0085180E" w:rsidP="0085180E">
      <w:pPr>
        <w:spacing w:after="0"/>
        <w:jc w:val="both"/>
        <w:rPr>
          <w:rFonts w:asciiTheme="majorHAnsi" w:hAnsiTheme="majorHAnsi" w:cstheme="majorHAnsi"/>
          <w:sz w:val="20"/>
          <w:lang w:val="pl-PL"/>
        </w:rPr>
      </w:pPr>
    </w:p>
    <w:p w14:paraId="5C6FB874" w14:textId="77777777" w:rsidR="0085180E" w:rsidRPr="00E13FF4" w:rsidRDefault="0085180E" w:rsidP="0085180E">
      <w:pPr>
        <w:spacing w:after="0"/>
        <w:jc w:val="both"/>
        <w:rPr>
          <w:rFonts w:asciiTheme="majorHAnsi" w:hAnsiTheme="majorHAnsi" w:cstheme="majorHAnsi"/>
          <w:sz w:val="20"/>
          <w:lang w:val="pl-PL"/>
        </w:rPr>
      </w:pPr>
    </w:p>
    <w:p w14:paraId="450429B5" w14:textId="77777777" w:rsidR="0085180E" w:rsidRPr="00E13FF4" w:rsidRDefault="0085180E" w:rsidP="0085180E">
      <w:pPr>
        <w:spacing w:after="0"/>
        <w:jc w:val="both"/>
        <w:rPr>
          <w:rFonts w:asciiTheme="majorHAnsi" w:hAnsiTheme="majorHAnsi" w:cstheme="majorHAnsi"/>
          <w:sz w:val="20"/>
          <w:lang w:val="pl-PL"/>
        </w:rPr>
      </w:pPr>
    </w:p>
    <w:p w14:paraId="4BC0F05A" w14:textId="77777777" w:rsidR="0085180E" w:rsidRPr="00E13FF4" w:rsidRDefault="0085180E" w:rsidP="0085180E">
      <w:pPr>
        <w:spacing w:after="0"/>
        <w:jc w:val="both"/>
        <w:rPr>
          <w:rFonts w:asciiTheme="majorHAnsi" w:hAnsiTheme="majorHAnsi" w:cstheme="majorHAnsi"/>
          <w:sz w:val="20"/>
          <w:lang w:val="pl-PL"/>
        </w:rPr>
      </w:pPr>
    </w:p>
    <w:p w14:paraId="43D1803E" w14:textId="77777777" w:rsidR="000932B7" w:rsidRPr="00E13FF4" w:rsidRDefault="000932B7" w:rsidP="0085180E">
      <w:pPr>
        <w:spacing w:after="240"/>
        <w:jc w:val="both"/>
        <w:rPr>
          <w:rFonts w:asciiTheme="majorHAnsi" w:hAnsiTheme="majorHAnsi" w:cstheme="majorHAnsi"/>
          <w:sz w:val="20"/>
          <w:lang w:val="pl-PL"/>
        </w:rPr>
      </w:pPr>
    </w:p>
    <w:p w14:paraId="5731924E" w14:textId="77777777" w:rsidR="000932B7" w:rsidRPr="00E13FF4" w:rsidRDefault="000932B7" w:rsidP="0085180E">
      <w:pPr>
        <w:spacing w:after="240"/>
        <w:jc w:val="both"/>
        <w:rPr>
          <w:rFonts w:asciiTheme="majorHAnsi" w:hAnsiTheme="majorHAnsi" w:cstheme="majorHAnsi"/>
          <w:sz w:val="20"/>
          <w:lang w:val="pl-PL"/>
        </w:rPr>
      </w:pPr>
    </w:p>
    <w:p w14:paraId="23C694A0" w14:textId="77777777" w:rsidR="000932B7" w:rsidRPr="00E13FF4" w:rsidRDefault="000932B7" w:rsidP="0085180E">
      <w:pPr>
        <w:spacing w:after="240"/>
        <w:jc w:val="both"/>
        <w:rPr>
          <w:rFonts w:asciiTheme="majorHAnsi" w:hAnsiTheme="majorHAnsi" w:cstheme="majorHAnsi"/>
          <w:sz w:val="20"/>
          <w:lang w:val="pl-PL"/>
        </w:rPr>
      </w:pPr>
    </w:p>
    <w:p w14:paraId="1440933F" w14:textId="77777777" w:rsidR="000932B7" w:rsidRPr="00E13FF4" w:rsidRDefault="000932B7" w:rsidP="0085180E">
      <w:pPr>
        <w:spacing w:after="240"/>
        <w:jc w:val="both"/>
        <w:rPr>
          <w:rFonts w:asciiTheme="majorHAnsi" w:hAnsiTheme="majorHAnsi" w:cstheme="majorHAnsi"/>
          <w:sz w:val="20"/>
          <w:lang w:val="pl-PL"/>
        </w:rPr>
      </w:pPr>
    </w:p>
    <w:p w14:paraId="0C5D988E" w14:textId="77777777" w:rsidR="000932B7" w:rsidRPr="00E13FF4" w:rsidRDefault="000932B7" w:rsidP="0085180E">
      <w:pPr>
        <w:spacing w:after="240"/>
        <w:jc w:val="both"/>
        <w:rPr>
          <w:rFonts w:asciiTheme="majorHAnsi" w:hAnsiTheme="majorHAnsi" w:cstheme="majorHAnsi"/>
          <w:sz w:val="20"/>
          <w:lang w:val="pl-PL"/>
        </w:rPr>
      </w:pPr>
    </w:p>
    <w:p w14:paraId="7DB229B1" w14:textId="77777777" w:rsidR="000932B7" w:rsidRPr="00E13FF4" w:rsidRDefault="000932B7" w:rsidP="0085180E">
      <w:pPr>
        <w:spacing w:after="240"/>
        <w:jc w:val="both"/>
        <w:rPr>
          <w:rFonts w:asciiTheme="majorHAnsi" w:hAnsiTheme="majorHAnsi" w:cstheme="majorHAnsi"/>
          <w:sz w:val="20"/>
          <w:lang w:val="pl-PL"/>
        </w:rPr>
      </w:pPr>
      <w:r w:rsidRPr="00E13FF4">
        <w:rPr>
          <w:rFonts w:asciiTheme="majorHAnsi" w:hAnsiTheme="majorHAnsi" w:cstheme="majorHAnsi"/>
          <w:noProof/>
          <w:lang w:eastAsia="en-GB"/>
        </w:rPr>
        <mc:AlternateContent>
          <mc:Choice Requires="wps">
            <w:drawing>
              <wp:anchor distT="0" distB="0" distL="114300" distR="114300" simplePos="0" relativeHeight="251712512" behindDoc="0" locked="0" layoutInCell="1" allowOverlap="1" wp14:anchorId="1253717F" wp14:editId="2635DECB">
                <wp:simplePos x="0" y="0"/>
                <wp:positionH relativeFrom="column">
                  <wp:posOffset>0</wp:posOffset>
                </wp:positionH>
                <wp:positionV relativeFrom="paragraph">
                  <wp:posOffset>245745</wp:posOffset>
                </wp:positionV>
                <wp:extent cx="4330700" cy="635"/>
                <wp:effectExtent l="0" t="0" r="0" b="0"/>
                <wp:wrapThrough wrapText="bothSides">
                  <wp:wrapPolygon edited="0">
                    <wp:start x="0" y="0"/>
                    <wp:lineTo x="0" y="19851"/>
                    <wp:lineTo x="21473" y="19851"/>
                    <wp:lineTo x="21473" y="0"/>
                    <wp:lineTo x="0" y="0"/>
                  </wp:wrapPolygon>
                </wp:wrapThrough>
                <wp:docPr id="52" name="Text Box 52"/>
                <wp:cNvGraphicFramePr/>
                <a:graphic xmlns:a="http://schemas.openxmlformats.org/drawingml/2006/main">
                  <a:graphicData uri="http://schemas.microsoft.com/office/word/2010/wordprocessingShape">
                    <wps:wsp>
                      <wps:cNvSpPr txBox="1"/>
                      <wps:spPr>
                        <a:xfrm>
                          <a:off x="0" y="0"/>
                          <a:ext cx="4330700" cy="635"/>
                        </a:xfrm>
                        <a:prstGeom prst="rect">
                          <a:avLst/>
                        </a:prstGeom>
                        <a:solidFill>
                          <a:prstClr val="white"/>
                        </a:solidFill>
                        <a:ln>
                          <a:noFill/>
                        </a:ln>
                      </wps:spPr>
                      <wps:txbx>
                        <w:txbxContent>
                          <w:p w14:paraId="0105C430" w14:textId="77777777" w:rsidR="000932B7" w:rsidRDefault="000932B7" w:rsidP="000932B7">
                            <w:pPr>
                              <w:pStyle w:val="Legenda"/>
                              <w:spacing w:after="0"/>
                            </w:pPr>
                            <w:r>
                              <w:t>Figura 13. Obiettivi di sviluppo sostenibile</w:t>
                            </w:r>
                          </w:p>
                          <w:p w14:paraId="554415FD" w14:textId="77777777" w:rsidR="000932B7" w:rsidRPr="000932B7" w:rsidRDefault="000932B7" w:rsidP="000932B7">
                            <w:pPr>
                              <w:spacing w:after="0"/>
                            </w:pPr>
                            <w:r w:rsidRPr="000932B7">
                              <w:rPr>
                                <w:i/>
                                <w:iCs/>
                                <w:color w:val="44546A" w:themeColor="text2"/>
                                <w:sz w:val="18"/>
                                <w:szCs w:val="18"/>
                              </w:rPr>
                              <w:t>Fonte:</w:t>
                            </w:r>
                            <w:r w:rsidRPr="000932B7">
                              <w:rPr>
                                <w:i/>
                                <w:iCs/>
                                <w:color w:val="44546A" w:themeColor="text2"/>
                                <w:sz w:val="14"/>
                                <w:szCs w:val="18"/>
                              </w:rPr>
                              <w:t xml:space="preserve"> </w:t>
                            </w:r>
                            <w:hyperlink r:id="rId38" w:history="1">
                              <w:r w:rsidRPr="000932B7">
                                <w:rPr>
                                  <w:rStyle w:val="Hipercze"/>
                                  <w:sz w:val="18"/>
                                </w:rPr>
                                <w:t>https://sustainabledevelopment.un.org/?menu=1300</w:t>
                              </w:r>
                            </w:hyperlink>
                            <w:r>
                              <w:t xml:space="preserve"> </w:t>
                            </w:r>
                            <w:r w:rsidRPr="000932B7">
                              <w:rPr>
                                <w:i/>
                                <w:iCs/>
                                <w:color w:val="44546A" w:themeColor="text2"/>
                                <w:sz w:val="18"/>
                                <w:szCs w:val="18"/>
                              </w:rPr>
                              <w:t>(05/11/2019)</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253717F" id="Text Box 52" o:spid="_x0000_s1037" type="#_x0000_t202" style="position:absolute;left:0;text-align:left;margin-left:0;margin-top:19.35pt;width:341pt;height:.0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" stroked="f">
                <v:textbox style="mso-fit-shape-to-text:t" inset="0,0,0,0">
                  <w:txbxContent>
                    <w:p w14:paraId="0105C430" w14:textId="77777777" w:rsidR="000932B7" w:rsidRDefault="000932B7" w:rsidP="000932B7">
                      <w:pPr>
                        <w:pStyle w:val="Legenda"/>
                        <w:spacing w:after="0"/>
                      </w:pPr>
                      <w:r>
                        <w:t>Figura 13. Obiettivi di sviluppo sostenibile</w:t>
                      </w:r>
                    </w:p>
                    <w:p w14:paraId="554415FD" w14:textId="77777777" w:rsidR="000932B7" w:rsidRPr="000932B7" w:rsidRDefault="000932B7" w:rsidP="000932B7">
                      <w:pPr>
                        <w:spacing w:after="0"/>
                      </w:pPr>
                      <w:r w:rsidRPr="000932B7">
                        <w:rPr>
                          <w:i/>
                          <w:iCs/>
                          <w:color w:val="44546A" w:themeColor="text2"/>
                          <w:sz w:val="18"/>
                          <w:szCs w:val="18"/>
                        </w:rPr>
                        <w:t>Fonte:</w:t>
                      </w:r>
                      <w:r w:rsidRPr="000932B7">
                        <w:rPr>
                          <w:i/>
                          <w:iCs/>
                          <w:color w:val="44546A" w:themeColor="text2"/>
                          <w:sz w:val="14"/>
                          <w:szCs w:val="18"/>
                        </w:rPr>
                        <w:t xml:space="preserve"> </w:t>
                      </w:r>
                      <w:hyperlink r:id="rId39" w:history="1">
                        <w:r w:rsidRPr="000932B7">
                          <w:rPr>
                            <w:rStyle w:val="Hipercze"/>
                            <w:sz w:val="18"/>
                          </w:rPr>
                          <w:t>https://sustainabledevelopment.un.org/?menu=1300</w:t>
                        </w:r>
                      </w:hyperlink>
                      <w:r>
                        <w:t xml:space="preserve"> </w:t>
                      </w:r>
                      <w:r w:rsidRPr="000932B7">
                        <w:rPr>
                          <w:i/>
                          <w:iCs/>
                          <w:color w:val="44546A" w:themeColor="text2"/>
                          <w:sz w:val="18"/>
                          <w:szCs w:val="18"/>
                        </w:rPr>
                        <w:t>(05/11/2019)</w:t>
                      </w:r>
                    </w:p>
                  </w:txbxContent>
                </v:textbox>
                <w10:wrap type="through"/>
              </v:shape>
            </w:pict>
          </mc:Fallback>
        </mc:AlternateContent>
      </w:r>
    </w:p>
    <w:p w14:paraId="36F66EA7" w14:textId="77777777" w:rsidR="000932B7" w:rsidRPr="00E13FF4" w:rsidRDefault="000932B7" w:rsidP="0085180E">
      <w:pPr>
        <w:spacing w:after="240"/>
        <w:jc w:val="both"/>
        <w:rPr>
          <w:rFonts w:asciiTheme="majorHAnsi" w:hAnsiTheme="majorHAnsi" w:cstheme="majorHAnsi"/>
          <w:sz w:val="20"/>
          <w:lang w:val="pl-PL"/>
        </w:rPr>
      </w:pPr>
    </w:p>
    <w:p w14:paraId="26FFC02E" w14:textId="77777777" w:rsidR="00422B94" w:rsidRPr="00E13FF4" w:rsidRDefault="00422B94" w:rsidP="00422B94">
      <w:pPr>
        <w:spacing w:after="0"/>
        <w:jc w:val="both"/>
        <w:rPr>
          <w:rFonts w:asciiTheme="majorHAnsi" w:hAnsiTheme="majorHAnsi" w:cstheme="majorHAnsi"/>
          <w:sz w:val="20"/>
          <w:lang w:val="pl-PL"/>
        </w:rPr>
      </w:pPr>
      <w:r w:rsidRPr="00E13FF4">
        <w:rPr>
          <w:rFonts w:asciiTheme="majorHAnsi" w:hAnsiTheme="majorHAnsi" w:cstheme="majorHAnsi"/>
          <w:sz w:val="20"/>
          <w:lang w:val="pl-PL"/>
        </w:rPr>
        <w:t>SLIDE 2</w:t>
      </w:r>
    </w:p>
    <w:p w14:paraId="3C7C7170" w14:textId="77777777" w:rsidR="00383812" w:rsidRPr="00E13FF4" w:rsidRDefault="00383812" w:rsidP="00E1371B">
      <w:pPr>
        <w:spacing w:after="0"/>
        <w:jc w:val="both"/>
        <w:rPr>
          <w:rFonts w:asciiTheme="majorHAnsi" w:hAnsiTheme="majorHAnsi" w:cstheme="majorHAnsi"/>
          <w:sz w:val="18"/>
          <w:lang w:val="pl-PL"/>
        </w:rPr>
      </w:pPr>
    </w:p>
    <w:p w14:paraId="0D18AF88" w14:textId="77777777" w:rsidR="00383812" w:rsidRPr="00E13FF4" w:rsidRDefault="00383812" w:rsidP="00383812">
      <w:pPr>
        <w:spacing w:after="0"/>
        <w:jc w:val="both"/>
        <w:rPr>
          <w:rFonts w:asciiTheme="majorHAnsi" w:hAnsiTheme="majorHAnsi" w:cstheme="majorHAnsi"/>
          <w:sz w:val="18"/>
          <w:lang w:val="pl-PL"/>
        </w:rPr>
      </w:pPr>
    </w:p>
    <w:p w14:paraId="07129FB8" w14:textId="77777777" w:rsidR="00383812" w:rsidRPr="00E13FF4" w:rsidRDefault="00383812" w:rsidP="00383812">
      <w:pPr>
        <w:spacing w:after="0"/>
        <w:jc w:val="both"/>
        <w:rPr>
          <w:rFonts w:asciiTheme="majorHAnsi" w:hAnsiTheme="majorHAnsi" w:cstheme="majorHAnsi"/>
          <w:sz w:val="18"/>
          <w:lang w:val="pl-PL"/>
        </w:rPr>
      </w:pPr>
      <w:r w:rsidRPr="00E13FF4">
        <w:rPr>
          <w:rFonts w:asciiTheme="majorHAnsi" w:hAnsiTheme="majorHAnsi" w:cstheme="majorHAnsi"/>
          <w:sz w:val="18"/>
          <w:lang w:val="pl-PL"/>
        </w:rPr>
        <w:t>Responsabilità sociale d'impresa</w:t>
      </w:r>
    </w:p>
    <w:p w14:paraId="708608DE" w14:textId="77777777" w:rsidR="00383812" w:rsidRPr="00E13FF4" w:rsidRDefault="00383812" w:rsidP="00383812">
      <w:pPr>
        <w:spacing w:after="0"/>
        <w:jc w:val="both"/>
        <w:rPr>
          <w:rFonts w:asciiTheme="majorHAnsi" w:hAnsiTheme="majorHAnsi" w:cstheme="majorHAnsi"/>
          <w:sz w:val="18"/>
          <w:lang w:val="pl-PL"/>
        </w:rPr>
      </w:pPr>
    </w:p>
    <w:p w14:paraId="610F213C" w14:textId="77777777" w:rsidR="00383812" w:rsidRPr="00E13FF4" w:rsidRDefault="00383812" w:rsidP="00383812">
      <w:pPr>
        <w:spacing w:after="0"/>
        <w:jc w:val="both"/>
        <w:rPr>
          <w:rFonts w:asciiTheme="majorHAnsi" w:hAnsiTheme="majorHAnsi" w:cstheme="majorHAnsi"/>
          <w:sz w:val="18"/>
          <w:lang w:val="pl-PL"/>
        </w:rPr>
      </w:pPr>
      <w:r w:rsidRPr="00E13FF4">
        <w:rPr>
          <w:rFonts w:asciiTheme="majorHAnsi" w:hAnsiTheme="majorHAnsi" w:cstheme="majorHAnsi"/>
          <w:sz w:val="18"/>
          <w:lang w:val="pl-PL"/>
        </w:rPr>
        <w:t>Le pratiche di responsabilità sociale delle imprese stanno diventando sempre più popolari poiché i consumatori hanno bisogno di maggiore influenza dalle imprese per rendere il mondo un posto migliore. Nell'indice S&amp;P 500 (le più grandi società negli Stati Uniti), il rapporto di sostenibilità diventa uno standard, anche se queste società non sono obbligate a compilarlo.</w:t>
      </w:r>
    </w:p>
    <w:p w14:paraId="1C7AECEA" w14:textId="77777777" w:rsidR="00383812" w:rsidRPr="00E13FF4" w:rsidRDefault="00383812" w:rsidP="00383812">
      <w:pPr>
        <w:spacing w:after="0"/>
        <w:jc w:val="both"/>
        <w:rPr>
          <w:rFonts w:asciiTheme="majorHAnsi" w:hAnsiTheme="majorHAnsi" w:cstheme="majorHAnsi"/>
          <w:sz w:val="18"/>
          <w:lang w:val="pl-PL"/>
        </w:rPr>
      </w:pPr>
      <w:r w:rsidRPr="00E13FF4">
        <w:rPr>
          <w:rFonts w:asciiTheme="majorHAnsi" w:hAnsiTheme="majorHAnsi" w:cstheme="majorHAnsi"/>
          <w:sz w:val="18"/>
          <w:lang w:val="pl-PL"/>
        </w:rPr>
        <w:t>Sviluppo sostenibile significa adottare strategie e attività aziendali che soddisfino le esigenze dell'impresa e dei suoi diversi stakeholder, proteggendo, mantenendo e aumentando le risorse umane e naturali che saranno necessarie in futuro.</w:t>
      </w:r>
      <w:r w:rsidRPr="00E13FF4">
        <w:rPr>
          <w:rStyle w:val="Odwoanieprzypisudolnego"/>
          <w:rFonts w:asciiTheme="majorHAnsi" w:hAnsiTheme="majorHAnsi" w:cstheme="majorHAnsi"/>
          <w:sz w:val="20"/>
          <w:lang w:val="pl-PL"/>
        </w:rPr>
        <w:t xml:space="preserve"> </w:t>
      </w:r>
      <w:r w:rsidRPr="00E13FF4">
        <w:rPr>
          <w:rStyle w:val="Odwoanieprzypisudolnego"/>
          <w:rFonts w:asciiTheme="majorHAnsi" w:hAnsiTheme="majorHAnsi" w:cstheme="majorHAnsi"/>
          <w:sz w:val="20"/>
        </w:rPr>
        <w:footnoteReference w:id="15"/>
      </w:r>
    </w:p>
    <w:p w14:paraId="32DF98FC" w14:textId="77777777" w:rsidR="00383812" w:rsidRPr="00E13FF4" w:rsidRDefault="00383812" w:rsidP="00383812">
      <w:pPr>
        <w:spacing w:after="0"/>
        <w:jc w:val="both"/>
        <w:rPr>
          <w:rFonts w:asciiTheme="majorHAnsi" w:hAnsiTheme="majorHAnsi" w:cstheme="majorHAnsi"/>
          <w:sz w:val="20"/>
          <w:lang w:val="pl-PL"/>
        </w:rPr>
      </w:pPr>
    </w:p>
    <w:p w14:paraId="46FCDC6E" w14:textId="77777777" w:rsidR="00383812" w:rsidRPr="00E13FF4" w:rsidRDefault="00383812" w:rsidP="00383812">
      <w:pPr>
        <w:autoSpaceDE w:val="0"/>
        <w:autoSpaceDN w:val="0"/>
        <w:adjustRightInd w:val="0"/>
        <w:spacing w:before="240" w:after="0" w:line="240" w:lineRule="auto"/>
        <w:rPr>
          <w:rFonts w:asciiTheme="majorHAnsi" w:hAnsiTheme="majorHAnsi" w:cstheme="majorHAnsi"/>
          <w:sz w:val="20"/>
          <w:lang w:val="pl-PL"/>
        </w:rPr>
      </w:pPr>
      <w:r w:rsidRPr="00E13FF4">
        <w:rPr>
          <w:rFonts w:asciiTheme="majorHAnsi" w:hAnsiTheme="majorHAnsi" w:cstheme="majorHAnsi"/>
          <w:sz w:val="20"/>
          <w:lang w:val="pl-PL"/>
        </w:rPr>
        <w:t>È importante che i consumatori "premiano" le aziende per le buone prestazioni in quanto questo è il fattore più forte nell'influenzare le decisioni aziendali.</w:t>
      </w:r>
    </w:p>
    <w:p w14:paraId="6DA13C7A" w14:textId="77777777" w:rsidR="00383812" w:rsidRPr="00E13FF4" w:rsidRDefault="00383812">
      <w:pPr>
        <w:rPr>
          <w:rFonts w:asciiTheme="majorHAnsi" w:hAnsiTheme="majorHAnsi" w:cstheme="majorHAnsi"/>
          <w:sz w:val="20"/>
          <w:lang w:val="pl-PL"/>
        </w:rPr>
      </w:pPr>
      <w:r w:rsidRPr="00E13FF4">
        <w:rPr>
          <w:rFonts w:asciiTheme="majorHAnsi" w:hAnsiTheme="majorHAnsi" w:cstheme="majorHAnsi"/>
          <w:sz w:val="20"/>
          <w:lang w:val="pl-PL"/>
        </w:rPr>
        <w:br w:type="page"/>
      </w:r>
    </w:p>
    <w:p w14:paraId="5D9A1053" w14:textId="77777777" w:rsidR="00383812" w:rsidRPr="00E13FF4" w:rsidRDefault="00383812" w:rsidP="00383812">
      <w:pPr>
        <w:autoSpaceDE w:val="0"/>
        <w:autoSpaceDN w:val="0"/>
        <w:adjustRightInd w:val="0"/>
        <w:spacing w:before="240" w:after="0" w:line="240" w:lineRule="auto"/>
        <w:rPr>
          <w:rFonts w:asciiTheme="majorHAnsi" w:hAnsiTheme="majorHAnsi" w:cstheme="majorHAnsi"/>
          <w:sz w:val="20"/>
          <w:lang w:val="pl-PL"/>
        </w:rPr>
      </w:pPr>
      <w:r w:rsidRPr="00E13FF4">
        <w:rPr>
          <w:rFonts w:asciiTheme="majorHAnsi" w:hAnsiTheme="majorHAnsi" w:cstheme="majorHAnsi"/>
          <w:noProof/>
          <w:lang w:eastAsia="en-GB"/>
        </w:rPr>
        <w:lastRenderedPageBreak/>
        <w:drawing>
          <wp:anchor distT="0" distB="0" distL="114300" distR="114300" simplePos="0" relativeHeight="251790336" behindDoc="0" locked="0" layoutInCell="1" allowOverlap="1" wp14:anchorId="7BB0DA6C" wp14:editId="4AB868C8">
            <wp:simplePos x="0" y="0"/>
            <wp:positionH relativeFrom="column">
              <wp:posOffset>-119270</wp:posOffset>
            </wp:positionH>
            <wp:positionV relativeFrom="paragraph">
              <wp:posOffset>-675861</wp:posOffset>
            </wp:positionV>
            <wp:extent cx="4158533" cy="2371615"/>
            <wp:effectExtent l="0" t="0" r="0" b="0"/>
            <wp:wrapNone/>
            <wp:docPr id="89" name="Chart 89">
              <a:extLst xmlns:a="http://schemas.openxmlformats.org/drawingml/2006/main">
                <a:ext uri="{FF2B5EF4-FFF2-40B4-BE49-F238E27FC236}">
                  <a16:creationId xmlns:a16="http://schemas.microsoft.com/office/drawing/2014/main" id="{9E81BD4A-B594-4225-9210-EA853D6438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14:sizeRelH relativeFrom="margin">
              <wp14:pctWidth>0</wp14:pctWidth>
            </wp14:sizeRelH>
            <wp14:sizeRelV relativeFrom="margin">
              <wp14:pctHeight>0</wp14:pctHeight>
            </wp14:sizeRelV>
          </wp:anchor>
        </w:drawing>
      </w:r>
    </w:p>
    <w:p w14:paraId="7A7131AA" w14:textId="77777777" w:rsidR="00515EB9" w:rsidRPr="00E13FF4" w:rsidRDefault="00515EB9" w:rsidP="00422B94">
      <w:pPr>
        <w:spacing w:after="240"/>
        <w:jc w:val="both"/>
        <w:rPr>
          <w:rFonts w:asciiTheme="majorHAnsi" w:hAnsiTheme="majorHAnsi" w:cstheme="majorHAnsi"/>
          <w:sz w:val="20"/>
          <w:lang w:val="pl-PL"/>
        </w:rPr>
      </w:pPr>
    </w:p>
    <w:p w14:paraId="638B4E14" w14:textId="77777777" w:rsidR="00383812" w:rsidRPr="00E13FF4" w:rsidRDefault="000D410E" w:rsidP="001B2D48">
      <w:pPr>
        <w:spacing w:after="0"/>
        <w:rPr>
          <w:rFonts w:asciiTheme="majorHAnsi" w:hAnsiTheme="majorHAnsi" w:cstheme="majorHAnsi"/>
          <w:sz w:val="20"/>
          <w:lang w:val="pl-PL"/>
        </w:rPr>
      </w:pPr>
      <w:r w:rsidRPr="00E13FF4">
        <w:rPr>
          <w:rFonts w:asciiTheme="majorHAnsi" w:hAnsiTheme="majorHAnsi" w:cstheme="majorHAnsi"/>
          <w:noProof/>
          <w:sz w:val="20"/>
          <w:lang w:eastAsia="en-GB"/>
        </w:rPr>
        <mc:AlternateContent>
          <mc:Choice Requires="wps">
            <w:drawing>
              <wp:anchor distT="0" distB="0" distL="114300" distR="114300" simplePos="0" relativeHeight="251792384" behindDoc="0" locked="0" layoutInCell="1" allowOverlap="1" wp14:anchorId="1F988AC3" wp14:editId="3A1026F8">
                <wp:simplePos x="0" y="0"/>
                <wp:positionH relativeFrom="column">
                  <wp:posOffset>0</wp:posOffset>
                </wp:positionH>
                <wp:positionV relativeFrom="paragraph">
                  <wp:posOffset>1435865</wp:posOffset>
                </wp:positionV>
                <wp:extent cx="6510759" cy="451412"/>
                <wp:effectExtent l="0" t="0" r="4445" b="6350"/>
                <wp:wrapNone/>
                <wp:docPr id="54" name="Text Box 54"/>
                <wp:cNvGraphicFramePr/>
                <a:graphic xmlns:a="http://schemas.openxmlformats.org/drawingml/2006/main">
                  <a:graphicData uri="http://schemas.microsoft.com/office/word/2010/wordprocessingShape">
                    <wps:wsp>
                      <wps:cNvSpPr txBox="1"/>
                      <wps:spPr>
                        <a:xfrm>
                          <a:off x="0" y="0"/>
                          <a:ext cx="6510759" cy="451412"/>
                        </a:xfrm>
                        <a:prstGeom prst="rect">
                          <a:avLst/>
                        </a:prstGeom>
                        <a:solidFill>
                          <a:prstClr val="white"/>
                        </a:solidFill>
                        <a:ln>
                          <a:noFill/>
                        </a:ln>
                      </wps:spPr>
                      <wps:txbx>
                        <w:txbxContent>
                          <w:p w14:paraId="6A8CC854" w14:textId="77777777" w:rsidR="000D410E" w:rsidRDefault="000D410E" w:rsidP="000D410E">
                            <w:pPr>
                              <w:pStyle w:val="Legenda"/>
                              <w:spacing w:after="0"/>
                            </w:pPr>
                            <w:r>
                              <w:t>Figura 14. Report sulla sostenibilità delle aziende S&amp;P 500</w:t>
                            </w:r>
                          </w:p>
                          <w:p w14:paraId="35EE1C7A" w14:textId="77777777" w:rsidR="000D410E" w:rsidRPr="000D410E" w:rsidRDefault="000D410E" w:rsidP="000D410E">
                            <w:pPr>
                              <w:spacing w:after="0"/>
                              <w:rPr>
                                <w:i/>
                                <w:iCs/>
                                <w:color w:val="44546A" w:themeColor="text2"/>
                                <w:sz w:val="18"/>
                                <w:szCs w:val="18"/>
                              </w:rPr>
                            </w:pPr>
                            <w:r w:rsidRPr="00835849">
                              <w:rPr>
                                <w:i/>
                                <w:iCs/>
                                <w:color w:val="44546A" w:themeColor="text2"/>
                                <w:sz w:val="18"/>
                                <w:szCs w:val="18"/>
                              </w:rPr>
                              <w:t xml:space="preserve">Fonte: </w:t>
                            </w:r>
                            <w:hyperlink r:id="rId41" w:history="1">
                              <w:r w:rsidRPr="000D410E">
                                <w:rPr>
                                  <w:i/>
                                  <w:iCs/>
                                  <w:color w:val="44546A" w:themeColor="text2"/>
                                  <w:sz w:val="18"/>
                                  <w:szCs w:val="18"/>
                                </w:rPr>
                                <w:t>https://www.ga-institute.com/press-releases/article/flash-report-85-of-sp-500-indexR-competies-publish-sustainability-reports-in-2017.html</w:t>
                              </w:r>
                            </w:hyperlink>
                            <w:r w:rsidRPr="000D410E">
                              <w:rPr>
                                <w:i/>
                                <w:iCs/>
                                <w:color w:val="44546A" w:themeColor="text2"/>
                                <w:sz w:val="18"/>
                                <w:szCs w:val="18"/>
                              </w:rPr>
                              <w:t xml:space="preserve"> (05/11/2019)</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988AC3" id="Text Box 54" o:spid="_x0000_s1038" type="#_x0000_t202" style="position:absolute;margin-left:0;margin-top:113.05pt;width:512.65pt;height:35.5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" stroked="f">
                <v:textbox inset="0,0,0,0">
                  <w:txbxContent>
                    <w:p w14:paraId="6A8CC854" w14:textId="77777777" w:rsidR="000D410E" w:rsidRDefault="000D410E" w:rsidP="000D410E">
                      <w:pPr>
                        <w:pStyle w:val="Legenda"/>
                        <w:spacing w:after="0"/>
                      </w:pPr>
                      <w:r>
                        <w:t>Figura 14. Report sulla sostenibilità delle aziende S&amp;P 500</w:t>
                      </w:r>
                    </w:p>
                    <w:p w14:paraId="35EE1C7A" w14:textId="77777777" w:rsidR="000D410E" w:rsidRPr="000D410E" w:rsidRDefault="000D410E" w:rsidP="000D410E">
                      <w:pPr>
                        <w:spacing w:after="0"/>
                        <w:rPr>
                          <w:i/>
                          <w:iCs/>
                          <w:color w:val="44546A" w:themeColor="text2"/>
                          <w:sz w:val="18"/>
                          <w:szCs w:val="18"/>
                        </w:rPr>
                      </w:pPr>
                      <w:r w:rsidRPr="00835849">
                        <w:rPr>
                          <w:i/>
                          <w:iCs/>
                          <w:color w:val="44546A" w:themeColor="text2"/>
                          <w:sz w:val="18"/>
                          <w:szCs w:val="18"/>
                        </w:rPr>
                        <w:t xml:space="preserve">Fonte: </w:t>
                      </w:r>
                      <w:hyperlink r:id="rId42" w:history="1">
                        <w:r w:rsidRPr="000D410E">
                          <w:rPr>
                            <w:i/>
                            <w:iCs/>
                            <w:color w:val="44546A" w:themeColor="text2"/>
                            <w:sz w:val="18"/>
                            <w:szCs w:val="18"/>
                          </w:rPr>
                          <w:t>https://www.ga-institute.com/press-releases/article/flash-report-85-of-sp-500-indexR-competies-publish-sustainability-reports-in-2017.html</w:t>
                        </w:r>
                      </w:hyperlink>
                      <w:r w:rsidRPr="000D410E">
                        <w:rPr>
                          <w:i/>
                          <w:iCs/>
                          <w:color w:val="44546A" w:themeColor="text2"/>
                          <w:sz w:val="18"/>
                          <w:szCs w:val="18"/>
                        </w:rPr>
                        <w:t xml:space="preserve"> (05/11/2019)</w:t>
                      </w:r>
                    </w:p>
                  </w:txbxContent>
                </v:textbox>
              </v:shape>
            </w:pict>
          </mc:Fallback>
        </mc:AlternateContent>
      </w:r>
    </w:p>
    <w:p w14:paraId="723F30E6" w14:textId="77777777" w:rsidR="00383812" w:rsidRPr="00E13FF4" w:rsidRDefault="00383812" w:rsidP="00383812">
      <w:pPr>
        <w:rPr>
          <w:rFonts w:asciiTheme="majorHAnsi" w:hAnsiTheme="majorHAnsi" w:cstheme="majorHAnsi"/>
          <w:sz w:val="20"/>
          <w:lang w:val="pl-PL"/>
        </w:rPr>
      </w:pPr>
    </w:p>
    <w:p w14:paraId="7D43ED60" w14:textId="77777777" w:rsidR="00383812" w:rsidRPr="00E13FF4" w:rsidRDefault="00383812" w:rsidP="00383812">
      <w:pPr>
        <w:rPr>
          <w:rFonts w:asciiTheme="majorHAnsi" w:hAnsiTheme="majorHAnsi" w:cstheme="majorHAnsi"/>
          <w:sz w:val="20"/>
          <w:lang w:val="pl-PL"/>
        </w:rPr>
      </w:pPr>
    </w:p>
    <w:p w14:paraId="31F6659A" w14:textId="77777777" w:rsidR="00383812" w:rsidRPr="00E13FF4" w:rsidRDefault="00383812" w:rsidP="00383812">
      <w:pPr>
        <w:rPr>
          <w:rFonts w:asciiTheme="majorHAnsi" w:hAnsiTheme="majorHAnsi" w:cstheme="majorHAnsi"/>
          <w:sz w:val="20"/>
          <w:lang w:val="pl-PL"/>
        </w:rPr>
      </w:pPr>
    </w:p>
    <w:p w14:paraId="54A483CF" w14:textId="77777777" w:rsidR="00383812" w:rsidRPr="00E13FF4" w:rsidRDefault="00383812" w:rsidP="00383812">
      <w:pPr>
        <w:rPr>
          <w:rFonts w:asciiTheme="majorHAnsi" w:hAnsiTheme="majorHAnsi" w:cstheme="majorHAnsi"/>
          <w:sz w:val="20"/>
          <w:lang w:val="pl-PL"/>
        </w:rPr>
      </w:pPr>
    </w:p>
    <w:p w14:paraId="46618540" w14:textId="77777777" w:rsidR="00383812" w:rsidRPr="00E13FF4" w:rsidRDefault="00383812" w:rsidP="00383812">
      <w:pPr>
        <w:rPr>
          <w:rFonts w:asciiTheme="majorHAnsi" w:hAnsiTheme="majorHAnsi" w:cstheme="majorHAnsi"/>
          <w:sz w:val="20"/>
          <w:lang w:val="pl-PL"/>
        </w:rPr>
      </w:pPr>
    </w:p>
    <w:p w14:paraId="2641B50E" w14:textId="77777777" w:rsidR="00383812" w:rsidRPr="00E13FF4" w:rsidRDefault="00383812" w:rsidP="00383812">
      <w:pPr>
        <w:rPr>
          <w:rFonts w:asciiTheme="majorHAnsi" w:hAnsiTheme="majorHAnsi" w:cstheme="majorHAnsi"/>
          <w:sz w:val="20"/>
          <w:lang w:val="pl-PL"/>
        </w:rPr>
      </w:pPr>
    </w:p>
    <w:p w14:paraId="41CB9488" w14:textId="77777777" w:rsidR="00383812" w:rsidRPr="00E13FF4" w:rsidRDefault="00383812" w:rsidP="00383812">
      <w:pPr>
        <w:rPr>
          <w:rFonts w:asciiTheme="majorHAnsi" w:hAnsiTheme="majorHAnsi" w:cstheme="majorHAnsi"/>
          <w:sz w:val="20"/>
          <w:lang w:val="pl-PL"/>
        </w:rPr>
      </w:pPr>
    </w:p>
    <w:p w14:paraId="3A0DF2F5" w14:textId="77777777" w:rsidR="00383812" w:rsidRPr="00E13FF4" w:rsidRDefault="00383812" w:rsidP="00383812">
      <w:pPr>
        <w:rPr>
          <w:rFonts w:asciiTheme="majorHAnsi" w:hAnsiTheme="majorHAnsi" w:cstheme="majorHAnsi"/>
          <w:sz w:val="20"/>
          <w:lang w:val="pl-PL"/>
        </w:rPr>
      </w:pPr>
    </w:p>
    <w:p w14:paraId="442E7AC5" w14:textId="77777777" w:rsidR="00383812" w:rsidRPr="00E13FF4" w:rsidRDefault="00383812" w:rsidP="00383812">
      <w:pPr>
        <w:rPr>
          <w:rFonts w:asciiTheme="majorHAnsi" w:hAnsiTheme="majorHAnsi" w:cstheme="majorHAnsi"/>
          <w:sz w:val="20"/>
          <w:lang w:val="pl-PL"/>
        </w:rPr>
      </w:pPr>
    </w:p>
    <w:p w14:paraId="4628A245" w14:textId="77777777" w:rsidR="00383812" w:rsidRPr="00E13FF4" w:rsidRDefault="00383812" w:rsidP="001B2D48">
      <w:pPr>
        <w:spacing w:after="0"/>
        <w:rPr>
          <w:rFonts w:asciiTheme="majorHAnsi" w:hAnsiTheme="majorHAnsi" w:cstheme="majorHAnsi"/>
          <w:sz w:val="20"/>
          <w:lang w:val="pl-PL"/>
        </w:rPr>
      </w:pPr>
    </w:p>
    <w:p w14:paraId="1FE60E94" w14:textId="77777777" w:rsidR="00383812" w:rsidRPr="00E13FF4" w:rsidRDefault="00383812" w:rsidP="001B2D48">
      <w:pPr>
        <w:spacing w:after="0"/>
        <w:rPr>
          <w:rFonts w:asciiTheme="majorHAnsi" w:hAnsiTheme="majorHAnsi" w:cstheme="majorHAnsi"/>
          <w:sz w:val="20"/>
          <w:lang w:val="pl-PL"/>
        </w:rPr>
      </w:pPr>
    </w:p>
    <w:p w14:paraId="57CA119D" w14:textId="77777777" w:rsidR="00383812" w:rsidRPr="00E13FF4" w:rsidRDefault="00383812" w:rsidP="00383812">
      <w:pPr>
        <w:spacing w:after="0"/>
        <w:rPr>
          <w:rFonts w:asciiTheme="majorHAnsi" w:hAnsiTheme="majorHAnsi" w:cstheme="majorHAnsi"/>
          <w:sz w:val="20"/>
          <w:lang w:val="pl-PL"/>
        </w:rPr>
      </w:pPr>
    </w:p>
    <w:p w14:paraId="7E12A9AB" w14:textId="77777777" w:rsidR="00383812" w:rsidRPr="00E13FF4" w:rsidRDefault="00383812" w:rsidP="00383812">
      <w:pPr>
        <w:spacing w:after="0"/>
        <w:rPr>
          <w:rFonts w:asciiTheme="majorHAnsi" w:hAnsiTheme="majorHAnsi" w:cstheme="majorHAnsi"/>
          <w:sz w:val="20"/>
          <w:lang w:val="pl-PL"/>
        </w:rPr>
      </w:pPr>
      <w:r w:rsidRPr="00E13FF4">
        <w:rPr>
          <w:rFonts w:asciiTheme="majorHAnsi" w:hAnsiTheme="majorHAnsi" w:cstheme="majorHAnsi"/>
          <w:sz w:val="20"/>
          <w:lang w:val="pl-PL"/>
        </w:rPr>
        <w:t>SLIDE 3</w:t>
      </w:r>
    </w:p>
    <w:p w14:paraId="2D040C12" w14:textId="77777777" w:rsidR="00383812" w:rsidRPr="00E13FF4" w:rsidRDefault="00383812" w:rsidP="00383812">
      <w:pPr>
        <w:spacing w:after="0"/>
        <w:rPr>
          <w:rFonts w:asciiTheme="majorHAnsi" w:hAnsiTheme="majorHAnsi" w:cstheme="majorHAnsi"/>
          <w:sz w:val="20"/>
          <w:lang w:val="pl-PL"/>
        </w:rPr>
      </w:pPr>
      <w:r w:rsidRPr="00E13FF4">
        <w:rPr>
          <w:rFonts w:asciiTheme="majorHAnsi" w:hAnsiTheme="majorHAnsi" w:cstheme="majorHAnsi"/>
          <w:sz w:val="20"/>
          <w:lang w:val="pl-PL"/>
        </w:rPr>
        <w:t>Ostacoli alla mobilitazione di capitali per investimenti nell'economia verde</w:t>
      </w:r>
    </w:p>
    <w:p w14:paraId="0F4FC743" w14:textId="77777777" w:rsidR="00383812" w:rsidRPr="00E13FF4" w:rsidRDefault="00383812" w:rsidP="00383812">
      <w:pPr>
        <w:spacing w:after="0"/>
        <w:rPr>
          <w:rFonts w:asciiTheme="majorHAnsi" w:hAnsiTheme="majorHAnsi" w:cstheme="majorHAnsi"/>
          <w:sz w:val="20"/>
          <w:lang w:val="pl-PL"/>
        </w:rPr>
      </w:pPr>
    </w:p>
    <w:p w14:paraId="029C1C14" w14:textId="77777777" w:rsidR="00383812" w:rsidRPr="00E13FF4" w:rsidRDefault="00383812" w:rsidP="00383812">
      <w:pPr>
        <w:spacing w:after="0"/>
        <w:rPr>
          <w:rFonts w:asciiTheme="majorHAnsi" w:hAnsiTheme="majorHAnsi" w:cstheme="majorHAnsi"/>
          <w:sz w:val="20"/>
          <w:lang w:val="pl-PL"/>
        </w:rPr>
      </w:pPr>
      <w:r w:rsidRPr="00E13FF4">
        <w:rPr>
          <w:rFonts w:asciiTheme="majorHAnsi" w:hAnsiTheme="majorHAnsi" w:cstheme="majorHAnsi"/>
          <w:sz w:val="20"/>
          <w:lang w:val="pl-PL"/>
        </w:rPr>
        <w:t>Il gruppo di studio del G20 sulla finanza verde ha evidenziato una serie di barriere a un'economia verde:</w:t>
      </w:r>
    </w:p>
    <w:p w14:paraId="39EDCA5D" w14:textId="77777777" w:rsidR="00383812" w:rsidRPr="00E13FF4" w:rsidRDefault="00383812" w:rsidP="00383812">
      <w:pPr>
        <w:spacing w:after="0"/>
        <w:rPr>
          <w:rFonts w:asciiTheme="majorHAnsi" w:hAnsiTheme="majorHAnsi" w:cstheme="majorHAnsi"/>
          <w:sz w:val="20"/>
          <w:lang w:val="pl-PL"/>
        </w:rPr>
      </w:pPr>
      <w:r w:rsidRPr="00E13FF4">
        <w:rPr>
          <w:rFonts w:asciiTheme="majorHAnsi" w:hAnsiTheme="majorHAnsi" w:cstheme="majorHAnsi"/>
          <w:sz w:val="20"/>
          <w:lang w:val="pl-PL"/>
        </w:rPr>
        <w:t>• Debolezza delle pipeline di progettazione</w:t>
      </w:r>
    </w:p>
    <w:p w14:paraId="727913DF" w14:textId="77777777" w:rsidR="00383812" w:rsidRPr="00E13FF4" w:rsidRDefault="00383812" w:rsidP="00383812">
      <w:pPr>
        <w:spacing w:after="0"/>
        <w:rPr>
          <w:rFonts w:asciiTheme="majorHAnsi" w:hAnsiTheme="majorHAnsi" w:cstheme="majorHAnsi"/>
          <w:sz w:val="20"/>
          <w:lang w:val="pl-PL"/>
        </w:rPr>
      </w:pPr>
      <w:r w:rsidRPr="00E13FF4">
        <w:rPr>
          <w:rFonts w:asciiTheme="majorHAnsi" w:hAnsiTheme="majorHAnsi" w:cstheme="majorHAnsi"/>
          <w:sz w:val="20"/>
          <w:lang w:val="pl-PL"/>
        </w:rPr>
        <w:t>• Significativi costi aggiuntivi legati all'infrastruttura "greening"</w:t>
      </w:r>
    </w:p>
    <w:p w14:paraId="29FC4ACC" w14:textId="77777777" w:rsidR="00383812" w:rsidRPr="00E13FF4" w:rsidRDefault="00383812" w:rsidP="00383812">
      <w:pPr>
        <w:spacing w:after="0"/>
        <w:rPr>
          <w:rFonts w:asciiTheme="majorHAnsi" w:hAnsiTheme="majorHAnsi" w:cstheme="majorHAnsi"/>
          <w:sz w:val="20"/>
          <w:lang w:val="pl-PL"/>
        </w:rPr>
      </w:pPr>
      <w:r w:rsidRPr="00E13FF4">
        <w:rPr>
          <w:rFonts w:asciiTheme="majorHAnsi" w:hAnsiTheme="majorHAnsi" w:cstheme="majorHAnsi"/>
          <w:sz w:val="20"/>
          <w:lang w:val="pl-PL"/>
        </w:rPr>
        <w:t>• Scarse opportunità commerciali per finanziare l'attuazione delle priorità di sviluppo nazionale</w:t>
      </w:r>
    </w:p>
    <w:p w14:paraId="4ECE4674" w14:textId="77777777" w:rsidR="00383812" w:rsidRPr="00E13FF4" w:rsidRDefault="00383812" w:rsidP="00383812">
      <w:pPr>
        <w:spacing w:after="0"/>
        <w:rPr>
          <w:rFonts w:asciiTheme="majorHAnsi" w:hAnsiTheme="majorHAnsi" w:cstheme="majorHAnsi"/>
          <w:sz w:val="20"/>
          <w:lang w:val="pl-PL"/>
        </w:rPr>
      </w:pPr>
      <w:r w:rsidRPr="00E13FF4">
        <w:rPr>
          <w:rFonts w:asciiTheme="majorHAnsi" w:hAnsiTheme="majorHAnsi" w:cstheme="majorHAnsi"/>
          <w:sz w:val="20"/>
          <w:lang w:val="pl-PL"/>
        </w:rPr>
        <w:t>• Obiettivi climatici o di sviluppo sostenibile</w:t>
      </w:r>
    </w:p>
    <w:p w14:paraId="5A71C1E1" w14:textId="77777777" w:rsidR="00383812" w:rsidRPr="00E13FF4" w:rsidRDefault="00383812" w:rsidP="00383812">
      <w:pPr>
        <w:spacing w:after="0"/>
        <w:rPr>
          <w:rFonts w:asciiTheme="majorHAnsi" w:hAnsiTheme="majorHAnsi" w:cstheme="majorHAnsi"/>
          <w:sz w:val="20"/>
          <w:lang w:val="pl-PL"/>
        </w:rPr>
      </w:pPr>
      <w:r w:rsidRPr="00E13FF4">
        <w:rPr>
          <w:rFonts w:asciiTheme="majorHAnsi" w:hAnsiTheme="majorHAnsi" w:cstheme="majorHAnsi"/>
          <w:sz w:val="20"/>
          <w:lang w:val="pl-PL"/>
        </w:rPr>
        <w:t>• Scarsità o cattivo utilizzo delle risorse pubbliche disponibili</w:t>
      </w:r>
    </w:p>
    <w:p w14:paraId="5927CA99" w14:textId="77777777" w:rsidR="006823D6" w:rsidRPr="00E13FF4" w:rsidRDefault="00383812" w:rsidP="00383812">
      <w:pPr>
        <w:spacing w:after="0"/>
        <w:rPr>
          <w:rFonts w:asciiTheme="majorHAnsi" w:hAnsiTheme="majorHAnsi" w:cstheme="majorHAnsi"/>
          <w:sz w:val="20"/>
          <w:lang w:val="pl-PL"/>
        </w:rPr>
      </w:pPr>
      <w:r w:rsidRPr="00E13FF4">
        <w:rPr>
          <w:rFonts w:asciiTheme="majorHAnsi" w:hAnsiTheme="majorHAnsi" w:cstheme="majorHAnsi"/>
          <w:sz w:val="20"/>
          <w:lang w:val="pl-PL"/>
        </w:rPr>
        <w:t>• Ambiente inadeguato favorevole agli investimenti privati</w:t>
      </w:r>
    </w:p>
    <w:p w14:paraId="66944511" w14:textId="77777777" w:rsidR="006823D6" w:rsidRPr="00E13FF4" w:rsidRDefault="006823D6" w:rsidP="006823D6">
      <w:pPr>
        <w:spacing w:after="0"/>
        <w:rPr>
          <w:rFonts w:asciiTheme="majorHAnsi" w:hAnsiTheme="majorHAnsi" w:cstheme="majorHAnsi"/>
          <w:sz w:val="20"/>
          <w:lang w:val="pl-PL"/>
        </w:rPr>
      </w:pPr>
    </w:p>
    <w:p w14:paraId="612A962F" w14:textId="77777777" w:rsidR="006823D6" w:rsidRPr="00E13FF4" w:rsidRDefault="006823D6" w:rsidP="006823D6">
      <w:pPr>
        <w:spacing w:after="0"/>
        <w:rPr>
          <w:rFonts w:asciiTheme="majorHAnsi" w:hAnsiTheme="majorHAnsi" w:cstheme="majorHAnsi"/>
          <w:sz w:val="20"/>
          <w:lang w:val="pl-PL"/>
        </w:rPr>
      </w:pPr>
      <w:r w:rsidRPr="00E13FF4">
        <w:rPr>
          <w:rFonts w:asciiTheme="majorHAnsi" w:hAnsiTheme="majorHAnsi" w:cstheme="majorHAnsi"/>
          <w:sz w:val="20"/>
          <w:lang w:val="pl-PL"/>
        </w:rPr>
        <w:t>SLIDE 4</w:t>
      </w:r>
    </w:p>
    <w:p w14:paraId="39D07053" w14:textId="77777777" w:rsidR="006823D6" w:rsidRPr="00E13FF4" w:rsidRDefault="006823D6" w:rsidP="006823D6">
      <w:pPr>
        <w:spacing w:after="0"/>
        <w:rPr>
          <w:rFonts w:asciiTheme="majorHAnsi" w:hAnsiTheme="majorHAnsi" w:cstheme="majorHAnsi"/>
          <w:sz w:val="20"/>
          <w:lang w:val="pl-PL"/>
        </w:rPr>
      </w:pPr>
      <w:r w:rsidRPr="00E13FF4">
        <w:rPr>
          <w:rFonts w:asciiTheme="majorHAnsi" w:hAnsiTheme="majorHAnsi" w:cstheme="majorHAnsi"/>
          <w:sz w:val="20"/>
          <w:lang w:val="pl-PL"/>
        </w:rPr>
        <w:t>Come incoraggiare le aziende a investire di più socialmente?</w:t>
      </w:r>
    </w:p>
    <w:p w14:paraId="0C720589" w14:textId="77777777" w:rsidR="006823D6" w:rsidRPr="00E13FF4" w:rsidRDefault="006823D6" w:rsidP="006823D6">
      <w:pPr>
        <w:spacing w:after="0"/>
        <w:rPr>
          <w:rFonts w:asciiTheme="majorHAnsi" w:hAnsiTheme="majorHAnsi" w:cstheme="majorHAnsi"/>
          <w:sz w:val="20"/>
          <w:lang w:val="pl-PL"/>
        </w:rPr>
      </w:pPr>
    </w:p>
    <w:p w14:paraId="0D4B0308" w14:textId="77777777" w:rsidR="006823D6" w:rsidRPr="00E13FF4" w:rsidRDefault="006823D6" w:rsidP="006823D6">
      <w:pPr>
        <w:spacing w:after="0"/>
        <w:rPr>
          <w:rFonts w:asciiTheme="majorHAnsi" w:hAnsiTheme="majorHAnsi" w:cstheme="majorHAnsi"/>
          <w:sz w:val="20"/>
          <w:lang w:val="pl-PL"/>
        </w:rPr>
      </w:pPr>
      <w:r w:rsidRPr="00E13FF4">
        <w:rPr>
          <w:rFonts w:asciiTheme="majorHAnsi" w:hAnsiTheme="majorHAnsi" w:cstheme="majorHAnsi"/>
          <w:sz w:val="20"/>
          <w:lang w:val="pl-PL"/>
        </w:rPr>
        <w:t>Un cambiamento ambientale positivo può essere ottenuto solo attraverso un'azione concertata in tutti i settori in tutto il mondo. Le persone hanno motivazioni diverse nel prendere decisioni aziendali, ma tutte le aziende aspirano a maggiori profitti, motivo per cui è così importante educare il pubblico che sostenibilità non significa rinunciare ai profitti a lungo termine.</w:t>
      </w:r>
    </w:p>
    <w:p w14:paraId="11C00E78" w14:textId="77777777" w:rsidR="006823D6" w:rsidRPr="00E13FF4" w:rsidRDefault="006823D6" w:rsidP="006823D6">
      <w:pPr>
        <w:spacing w:after="0"/>
        <w:rPr>
          <w:rFonts w:asciiTheme="majorHAnsi" w:hAnsiTheme="majorHAnsi" w:cstheme="majorHAnsi"/>
          <w:sz w:val="20"/>
          <w:lang w:val="pl-PL"/>
        </w:rPr>
      </w:pPr>
    </w:p>
    <w:p w14:paraId="0FF7CCCA" w14:textId="77777777" w:rsidR="006823D6" w:rsidRPr="00E13FF4" w:rsidRDefault="006823D6" w:rsidP="006823D6">
      <w:pPr>
        <w:spacing w:after="0"/>
        <w:rPr>
          <w:rFonts w:asciiTheme="majorHAnsi" w:hAnsiTheme="majorHAnsi" w:cstheme="majorHAnsi"/>
          <w:sz w:val="20"/>
          <w:lang w:val="pl-PL"/>
        </w:rPr>
      </w:pPr>
      <w:r w:rsidRPr="00E13FF4">
        <w:rPr>
          <w:rFonts w:asciiTheme="majorHAnsi" w:hAnsiTheme="majorHAnsi" w:cstheme="majorHAnsi"/>
          <w:sz w:val="20"/>
          <w:lang w:val="pl-PL"/>
        </w:rPr>
        <w:t>Integrare la sostenibilità nella strategia e nella pratica di un'azienda migliora:</w:t>
      </w:r>
      <w:r w:rsidRPr="00E13FF4">
        <w:rPr>
          <w:rStyle w:val="Odwoanieprzypisudolnego"/>
          <w:rFonts w:asciiTheme="majorHAnsi" w:hAnsiTheme="majorHAnsi" w:cstheme="majorHAnsi"/>
          <w:sz w:val="20"/>
        </w:rPr>
        <w:footnoteReference w:id="16"/>
      </w:r>
    </w:p>
    <w:p w14:paraId="307827E4" w14:textId="77777777" w:rsidR="006823D6" w:rsidRPr="00E13FF4" w:rsidRDefault="006823D6" w:rsidP="006823D6">
      <w:pPr>
        <w:spacing w:after="0"/>
        <w:rPr>
          <w:rFonts w:asciiTheme="majorHAnsi" w:hAnsiTheme="majorHAnsi" w:cstheme="majorHAnsi"/>
          <w:sz w:val="20"/>
          <w:lang w:val="pl-PL"/>
        </w:rPr>
      </w:pPr>
    </w:p>
    <w:p w14:paraId="0C9F2CC0" w14:textId="77777777" w:rsidR="006823D6" w:rsidRPr="00E13FF4" w:rsidRDefault="006823D6" w:rsidP="006823D6">
      <w:pPr>
        <w:spacing w:after="0"/>
        <w:rPr>
          <w:rFonts w:asciiTheme="majorHAnsi" w:hAnsiTheme="majorHAnsi" w:cstheme="majorHAnsi"/>
          <w:sz w:val="20"/>
          <w:lang w:val="pl-PL"/>
        </w:rPr>
      </w:pPr>
      <w:r w:rsidRPr="00E13FF4">
        <w:rPr>
          <w:rFonts w:asciiTheme="majorHAnsi" w:hAnsiTheme="majorHAnsi" w:cstheme="majorHAnsi"/>
          <w:sz w:val="20"/>
          <w:lang w:val="pl-PL"/>
        </w:rPr>
        <w:t>• Fedeltà del cliente</w:t>
      </w:r>
    </w:p>
    <w:p w14:paraId="518469D6" w14:textId="77777777" w:rsidR="006823D6" w:rsidRPr="00E13FF4" w:rsidRDefault="006823D6" w:rsidP="006823D6">
      <w:pPr>
        <w:spacing w:after="0"/>
        <w:rPr>
          <w:rFonts w:asciiTheme="majorHAnsi" w:hAnsiTheme="majorHAnsi" w:cstheme="majorHAnsi"/>
          <w:sz w:val="20"/>
          <w:lang w:val="pl-PL"/>
        </w:rPr>
      </w:pPr>
      <w:r w:rsidRPr="00E13FF4">
        <w:rPr>
          <w:rFonts w:asciiTheme="majorHAnsi" w:hAnsiTheme="majorHAnsi" w:cstheme="majorHAnsi"/>
          <w:sz w:val="20"/>
          <w:lang w:val="pl-PL"/>
        </w:rPr>
        <w:t>• Rapporti tra dipendenti</w:t>
      </w:r>
    </w:p>
    <w:p w14:paraId="5FDD1766" w14:textId="77777777" w:rsidR="006823D6" w:rsidRPr="00E13FF4" w:rsidRDefault="006823D6" w:rsidP="006823D6">
      <w:pPr>
        <w:spacing w:after="0"/>
        <w:rPr>
          <w:rFonts w:asciiTheme="majorHAnsi" w:hAnsiTheme="majorHAnsi" w:cstheme="majorHAnsi"/>
          <w:sz w:val="20"/>
          <w:lang w:val="pl-PL"/>
        </w:rPr>
      </w:pPr>
      <w:r w:rsidRPr="00E13FF4">
        <w:rPr>
          <w:rFonts w:asciiTheme="majorHAnsi" w:hAnsiTheme="majorHAnsi" w:cstheme="majorHAnsi"/>
          <w:sz w:val="20"/>
          <w:lang w:val="pl-PL"/>
        </w:rPr>
        <w:t>• Innovazioni</w:t>
      </w:r>
    </w:p>
    <w:p w14:paraId="3FD78A08" w14:textId="77777777" w:rsidR="006823D6" w:rsidRPr="00E13FF4" w:rsidRDefault="006823D6" w:rsidP="006823D6">
      <w:pPr>
        <w:spacing w:after="0"/>
        <w:rPr>
          <w:rFonts w:asciiTheme="majorHAnsi" w:hAnsiTheme="majorHAnsi" w:cstheme="majorHAnsi"/>
          <w:sz w:val="20"/>
          <w:lang w:val="pl-PL"/>
        </w:rPr>
      </w:pPr>
      <w:r w:rsidRPr="00E13FF4">
        <w:rPr>
          <w:rFonts w:asciiTheme="majorHAnsi" w:hAnsiTheme="majorHAnsi" w:cstheme="majorHAnsi"/>
          <w:sz w:val="20"/>
          <w:lang w:val="pl-PL"/>
        </w:rPr>
        <w:t>• Copertura mediatica</w:t>
      </w:r>
    </w:p>
    <w:p w14:paraId="4AD736EA" w14:textId="77777777" w:rsidR="006823D6" w:rsidRPr="00E13FF4" w:rsidRDefault="006823D6" w:rsidP="006823D6">
      <w:pPr>
        <w:spacing w:after="0"/>
        <w:rPr>
          <w:rFonts w:asciiTheme="majorHAnsi" w:hAnsiTheme="majorHAnsi" w:cstheme="majorHAnsi"/>
          <w:sz w:val="20"/>
          <w:lang w:val="pl-PL"/>
        </w:rPr>
      </w:pPr>
      <w:r w:rsidRPr="00E13FF4">
        <w:rPr>
          <w:rFonts w:asciiTheme="majorHAnsi" w:hAnsiTheme="majorHAnsi" w:cstheme="majorHAnsi"/>
          <w:sz w:val="20"/>
          <w:lang w:val="pl-PL"/>
        </w:rPr>
        <w:t>• Efficienza operativa</w:t>
      </w:r>
    </w:p>
    <w:p w14:paraId="3D6278F6" w14:textId="77777777" w:rsidR="006823D6" w:rsidRPr="00E13FF4" w:rsidRDefault="006823D6" w:rsidP="006823D6">
      <w:pPr>
        <w:spacing w:after="0"/>
        <w:rPr>
          <w:rFonts w:asciiTheme="majorHAnsi" w:hAnsiTheme="majorHAnsi" w:cstheme="majorHAnsi"/>
          <w:sz w:val="20"/>
          <w:lang w:val="pl-PL"/>
        </w:rPr>
      </w:pPr>
      <w:r w:rsidRPr="00E13FF4">
        <w:rPr>
          <w:rFonts w:asciiTheme="majorHAnsi" w:hAnsiTheme="majorHAnsi" w:cstheme="majorHAnsi"/>
          <w:sz w:val="20"/>
          <w:lang w:val="pl-PL"/>
        </w:rPr>
        <w:lastRenderedPageBreak/>
        <w:t>•Gestione del rischio</w:t>
      </w:r>
    </w:p>
    <w:p w14:paraId="05C759ED" w14:textId="77777777" w:rsidR="006823D6" w:rsidRPr="00E13FF4" w:rsidRDefault="006823D6" w:rsidP="006823D6">
      <w:pPr>
        <w:spacing w:after="0"/>
        <w:rPr>
          <w:rFonts w:asciiTheme="majorHAnsi" w:hAnsiTheme="majorHAnsi" w:cstheme="majorHAnsi"/>
          <w:sz w:val="20"/>
          <w:lang w:val="pl-PL"/>
        </w:rPr>
      </w:pPr>
      <w:r w:rsidRPr="00E13FF4">
        <w:rPr>
          <w:rFonts w:asciiTheme="majorHAnsi" w:hAnsiTheme="majorHAnsi" w:cstheme="majorHAnsi"/>
          <w:sz w:val="20"/>
          <w:lang w:val="pl-PL"/>
        </w:rPr>
        <w:t>• Vendite e marketing</w:t>
      </w:r>
    </w:p>
    <w:p w14:paraId="4BD1836F" w14:textId="77777777" w:rsidR="006823D6" w:rsidRPr="00E13FF4" w:rsidRDefault="006823D6" w:rsidP="006823D6">
      <w:pPr>
        <w:spacing w:after="0"/>
        <w:rPr>
          <w:rFonts w:asciiTheme="majorHAnsi" w:hAnsiTheme="majorHAnsi" w:cstheme="majorHAnsi"/>
          <w:sz w:val="20"/>
          <w:lang w:val="pl-PL"/>
        </w:rPr>
      </w:pPr>
      <w:r w:rsidRPr="00E13FF4">
        <w:rPr>
          <w:rFonts w:asciiTheme="majorHAnsi" w:hAnsiTheme="majorHAnsi" w:cstheme="majorHAnsi"/>
          <w:sz w:val="20"/>
          <w:lang w:val="pl-PL"/>
        </w:rPr>
        <w:t>• Rapporti con i fornitori</w:t>
      </w:r>
    </w:p>
    <w:p w14:paraId="3FAC04DA" w14:textId="77777777" w:rsidR="0027235F" w:rsidRPr="00E13FF4" w:rsidRDefault="006823D6" w:rsidP="006823D6">
      <w:pPr>
        <w:spacing w:after="0"/>
        <w:rPr>
          <w:rFonts w:asciiTheme="majorHAnsi" w:hAnsiTheme="majorHAnsi" w:cstheme="majorHAnsi"/>
          <w:sz w:val="20"/>
          <w:lang w:val="pl-PL"/>
        </w:rPr>
      </w:pPr>
      <w:r w:rsidRPr="00E13FF4">
        <w:rPr>
          <w:rFonts w:asciiTheme="majorHAnsi" w:hAnsiTheme="majorHAnsi" w:cstheme="majorHAnsi"/>
          <w:sz w:val="20"/>
          <w:lang w:val="pl-PL"/>
        </w:rPr>
        <w:t>• Coinvolgimento degli stakeholder</w:t>
      </w:r>
      <w:r w:rsidR="00835849" w:rsidRPr="00E13FF4">
        <w:rPr>
          <w:rFonts w:asciiTheme="majorHAnsi" w:hAnsiTheme="majorHAnsi" w:cstheme="majorHAnsi"/>
          <w:sz w:val="20"/>
          <w:lang w:val="pl-PL"/>
        </w:rPr>
        <w:br w:type="page"/>
      </w:r>
      <w:r w:rsidR="0027235F" w:rsidRPr="00E13FF4">
        <w:rPr>
          <w:rFonts w:asciiTheme="majorHAnsi" w:hAnsiTheme="majorHAnsi" w:cstheme="majorHAnsi"/>
          <w:sz w:val="20"/>
          <w:lang w:val="pl-PL"/>
        </w:rPr>
        <w:lastRenderedPageBreak/>
        <w:t xml:space="preserve"> </w:t>
      </w:r>
    </w:p>
    <w:p w14:paraId="4542FCA2" w14:textId="77777777" w:rsidR="006823D6" w:rsidRPr="00E13FF4" w:rsidRDefault="006823D6" w:rsidP="006823D6">
      <w:pPr>
        <w:spacing w:after="0"/>
        <w:jc w:val="both"/>
        <w:rPr>
          <w:rFonts w:asciiTheme="majorHAnsi" w:hAnsiTheme="majorHAnsi" w:cstheme="majorHAnsi"/>
          <w:sz w:val="18"/>
          <w:lang w:val="pl-PL"/>
        </w:rPr>
      </w:pPr>
    </w:p>
    <w:p w14:paraId="35E299BC" w14:textId="77777777" w:rsidR="006823D6" w:rsidRPr="00E13FF4" w:rsidRDefault="006823D6" w:rsidP="006823D6">
      <w:pPr>
        <w:spacing w:after="0"/>
        <w:jc w:val="both"/>
        <w:rPr>
          <w:rFonts w:asciiTheme="majorHAnsi" w:hAnsiTheme="majorHAnsi" w:cstheme="majorHAnsi"/>
          <w:sz w:val="18"/>
          <w:lang w:val="pl-PL"/>
        </w:rPr>
      </w:pPr>
      <w:r w:rsidRPr="00E13FF4">
        <w:rPr>
          <w:rFonts w:asciiTheme="majorHAnsi" w:hAnsiTheme="majorHAnsi" w:cstheme="majorHAnsi"/>
          <w:sz w:val="18"/>
          <w:lang w:val="pl-PL"/>
        </w:rPr>
        <w:t>SLIDE 5</w:t>
      </w:r>
    </w:p>
    <w:p w14:paraId="513094B1" w14:textId="77777777" w:rsidR="006823D6" w:rsidRPr="00E13FF4" w:rsidRDefault="006823D6" w:rsidP="006823D6">
      <w:pPr>
        <w:spacing w:after="0"/>
        <w:jc w:val="both"/>
        <w:rPr>
          <w:rFonts w:asciiTheme="majorHAnsi" w:hAnsiTheme="majorHAnsi" w:cstheme="majorHAnsi"/>
          <w:sz w:val="18"/>
          <w:lang w:val="pl-PL"/>
        </w:rPr>
      </w:pPr>
    </w:p>
    <w:p w14:paraId="4FC52A82" w14:textId="77777777" w:rsidR="00322F84" w:rsidRPr="00E13FF4" w:rsidRDefault="00322F84" w:rsidP="006823D6">
      <w:pPr>
        <w:spacing w:after="0"/>
        <w:jc w:val="both"/>
        <w:rPr>
          <w:rFonts w:asciiTheme="majorHAnsi" w:hAnsiTheme="majorHAnsi" w:cstheme="majorHAnsi"/>
          <w:sz w:val="18"/>
          <w:lang w:val="pl-PL"/>
        </w:rPr>
      </w:pPr>
      <w:r w:rsidRPr="00E13FF4">
        <w:rPr>
          <w:rFonts w:asciiTheme="majorHAnsi" w:hAnsiTheme="majorHAnsi" w:cstheme="majorHAnsi"/>
          <w:sz w:val="18"/>
          <w:lang w:val="pl-PL"/>
        </w:rPr>
        <w:t>ESG - un'abbreviazione che indica i fattori sulla base dei quali si basano i rating e i rating non finanziari di società, paesi e altre organizzazioni.</w:t>
      </w:r>
    </w:p>
    <w:p w14:paraId="59FC9FC2" w14:textId="77777777" w:rsidR="00322F84" w:rsidRPr="00E13FF4" w:rsidRDefault="00322F84" w:rsidP="006823D6">
      <w:pPr>
        <w:spacing w:after="0"/>
        <w:jc w:val="both"/>
        <w:rPr>
          <w:rFonts w:asciiTheme="majorHAnsi" w:hAnsiTheme="majorHAnsi" w:cstheme="majorHAnsi"/>
          <w:sz w:val="18"/>
          <w:lang w:val="pl-PL"/>
        </w:rPr>
      </w:pPr>
    </w:p>
    <w:p w14:paraId="4B89A9D8" w14:textId="77777777" w:rsidR="0027235F" w:rsidRPr="00E13FF4" w:rsidRDefault="006823D6" w:rsidP="006823D6">
      <w:pPr>
        <w:spacing w:after="0"/>
        <w:jc w:val="both"/>
        <w:rPr>
          <w:rFonts w:asciiTheme="majorHAnsi" w:hAnsiTheme="majorHAnsi" w:cstheme="majorHAnsi"/>
          <w:sz w:val="18"/>
          <w:lang w:val="pl-PL"/>
        </w:rPr>
      </w:pPr>
      <w:r w:rsidRPr="00E13FF4">
        <w:rPr>
          <w:rFonts w:asciiTheme="majorHAnsi" w:hAnsiTheme="majorHAnsi" w:cstheme="majorHAnsi"/>
          <w:sz w:val="18"/>
          <w:lang w:val="pl-PL"/>
        </w:rPr>
        <w:t>Criteri ESG per investitori sostenibili</w:t>
      </w:r>
    </w:p>
    <w:p w14:paraId="7B45B189" w14:textId="77777777" w:rsidR="001B2D48" w:rsidRPr="00E13FF4" w:rsidRDefault="001B2D48" w:rsidP="00903586">
      <w:pPr>
        <w:spacing w:after="0"/>
        <w:rPr>
          <w:rFonts w:asciiTheme="majorHAnsi" w:hAnsiTheme="majorHAnsi" w:cstheme="majorHAnsi"/>
          <w:sz w:val="20"/>
          <w:lang w:val="pl-PL"/>
        </w:rPr>
      </w:pPr>
    </w:p>
    <w:tbl>
      <w:tblPr>
        <w:tblStyle w:val="Tabelalisty4akcent5"/>
        <w:tblW w:w="0" w:type="auto"/>
        <w:tblLook w:val="04A0" w:firstRow="1" w:lastRow="0" w:firstColumn="1" w:lastColumn="0" w:noHBand="0" w:noVBand="1"/>
      </w:tblPr>
      <w:tblGrid>
        <w:gridCol w:w="3005"/>
        <w:gridCol w:w="3005"/>
        <w:gridCol w:w="3006"/>
      </w:tblGrid>
      <w:tr w:rsidR="001B2D48" w:rsidRPr="00E13FF4" w14:paraId="7D77AAD2" w14:textId="77777777" w:rsidTr="001B2D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tcPr>
          <w:p w14:paraId="3BB8CE74" w14:textId="77777777" w:rsidR="001B2D48" w:rsidRPr="00E13FF4" w:rsidRDefault="00322F84" w:rsidP="00903586">
            <w:pPr>
              <w:rPr>
                <w:rFonts w:asciiTheme="majorHAnsi" w:hAnsiTheme="majorHAnsi" w:cstheme="majorHAnsi"/>
                <w:sz w:val="20"/>
              </w:rPr>
            </w:pPr>
            <w:r w:rsidRPr="00E13FF4">
              <w:rPr>
                <w:rFonts w:asciiTheme="majorHAnsi" w:hAnsiTheme="majorHAnsi" w:cstheme="majorHAnsi"/>
                <w:sz w:val="20"/>
              </w:rPr>
              <w:t>Ambiente</w:t>
            </w:r>
          </w:p>
        </w:tc>
        <w:tc>
          <w:tcPr>
            <w:tcW w:w="3005" w:type="dxa"/>
          </w:tcPr>
          <w:p w14:paraId="3BD51161" w14:textId="77777777" w:rsidR="001B2D48" w:rsidRPr="00E13FF4" w:rsidRDefault="00322F84" w:rsidP="00903586">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20"/>
              </w:rPr>
            </w:pPr>
            <w:r w:rsidRPr="00E13FF4">
              <w:rPr>
                <w:rFonts w:asciiTheme="majorHAnsi" w:hAnsiTheme="majorHAnsi" w:cstheme="majorHAnsi"/>
                <w:sz w:val="20"/>
              </w:rPr>
              <w:t>Responsabilità sociale</w:t>
            </w:r>
          </w:p>
        </w:tc>
        <w:tc>
          <w:tcPr>
            <w:tcW w:w="3006" w:type="dxa"/>
          </w:tcPr>
          <w:p w14:paraId="78089CE3" w14:textId="77777777" w:rsidR="001B2D48" w:rsidRPr="00E13FF4" w:rsidRDefault="00322F84" w:rsidP="00903586">
            <w:pP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20"/>
              </w:rPr>
            </w:pPr>
            <w:r w:rsidRPr="00E13FF4">
              <w:rPr>
                <w:rFonts w:asciiTheme="majorHAnsi" w:hAnsiTheme="majorHAnsi" w:cstheme="majorHAnsi"/>
                <w:sz w:val="20"/>
              </w:rPr>
              <w:t>Governo d'impresa</w:t>
            </w:r>
          </w:p>
        </w:tc>
      </w:tr>
      <w:tr w:rsidR="001B2D48" w:rsidRPr="00E13FF4" w14:paraId="532D4613" w14:textId="77777777" w:rsidTr="001B2D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vAlign w:val="center"/>
          </w:tcPr>
          <w:p w14:paraId="72E12BF4" w14:textId="77777777" w:rsidR="001B2D48" w:rsidRPr="00E13FF4" w:rsidRDefault="002776FB" w:rsidP="001B2D48">
            <w:pPr>
              <w:rPr>
                <w:rFonts w:asciiTheme="majorHAnsi" w:hAnsiTheme="majorHAnsi" w:cstheme="majorHAnsi"/>
                <w:b w:val="0"/>
                <w:sz w:val="20"/>
              </w:rPr>
            </w:pPr>
            <w:r w:rsidRPr="00E13FF4">
              <w:rPr>
                <w:rFonts w:asciiTheme="majorHAnsi" w:hAnsiTheme="majorHAnsi" w:cstheme="majorHAnsi"/>
                <w:b w:val="0"/>
                <w:sz w:val="20"/>
              </w:rPr>
              <w:t>Impatto climatico</w:t>
            </w:r>
          </w:p>
        </w:tc>
        <w:tc>
          <w:tcPr>
            <w:tcW w:w="3005" w:type="dxa"/>
            <w:vAlign w:val="center"/>
          </w:tcPr>
          <w:p w14:paraId="43601E9C" w14:textId="77777777" w:rsidR="001B2D48" w:rsidRPr="00E13FF4" w:rsidRDefault="002776FB" w:rsidP="001B2D4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rPr>
            </w:pPr>
            <w:r w:rsidRPr="00E13FF4">
              <w:rPr>
                <w:rFonts w:asciiTheme="majorHAnsi" w:hAnsiTheme="majorHAnsi" w:cstheme="majorHAnsi"/>
                <w:sz w:val="20"/>
              </w:rPr>
              <w:t>Diritti umani</w:t>
            </w:r>
          </w:p>
        </w:tc>
        <w:tc>
          <w:tcPr>
            <w:tcW w:w="3006" w:type="dxa"/>
            <w:vAlign w:val="center"/>
          </w:tcPr>
          <w:p w14:paraId="598320F6" w14:textId="77777777" w:rsidR="002776FB" w:rsidRPr="00E13FF4" w:rsidRDefault="002776FB" w:rsidP="002776FB">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lang w:val="pl-PL"/>
              </w:rPr>
            </w:pPr>
          </w:p>
          <w:p w14:paraId="1694527D" w14:textId="77777777" w:rsidR="001B2D48" w:rsidRPr="00E13FF4" w:rsidRDefault="002776FB" w:rsidP="002776FB">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lang w:val="pl-PL"/>
              </w:rPr>
            </w:pPr>
            <w:r w:rsidRPr="00E13FF4">
              <w:rPr>
                <w:rFonts w:asciiTheme="majorHAnsi" w:hAnsiTheme="majorHAnsi" w:cstheme="majorHAnsi"/>
                <w:sz w:val="20"/>
                <w:lang w:val="pl-PL"/>
              </w:rPr>
              <w:t>Conformità degli interessi tra dirigenti e azionisti</w:t>
            </w:r>
          </w:p>
        </w:tc>
      </w:tr>
      <w:tr w:rsidR="001B2D48" w:rsidRPr="00E13FF4" w14:paraId="1E9725F8" w14:textId="77777777" w:rsidTr="001B2D48">
        <w:tc>
          <w:tcPr>
            <w:cnfStyle w:val="001000000000" w:firstRow="0" w:lastRow="0" w:firstColumn="1" w:lastColumn="0" w:oddVBand="0" w:evenVBand="0" w:oddHBand="0" w:evenHBand="0" w:firstRowFirstColumn="0" w:firstRowLastColumn="0" w:lastRowFirstColumn="0" w:lastRowLastColumn="0"/>
            <w:tcW w:w="3005" w:type="dxa"/>
            <w:vAlign w:val="center"/>
          </w:tcPr>
          <w:p w14:paraId="0AE61761" w14:textId="77777777" w:rsidR="001B2D48" w:rsidRPr="00E13FF4" w:rsidRDefault="002776FB" w:rsidP="001B2D48">
            <w:pPr>
              <w:rPr>
                <w:rFonts w:asciiTheme="majorHAnsi" w:hAnsiTheme="majorHAnsi" w:cstheme="majorHAnsi"/>
                <w:b w:val="0"/>
                <w:sz w:val="20"/>
              </w:rPr>
            </w:pPr>
            <w:r w:rsidRPr="00E13FF4">
              <w:rPr>
                <w:rFonts w:asciiTheme="majorHAnsi" w:hAnsiTheme="majorHAnsi" w:cstheme="majorHAnsi"/>
                <w:b w:val="0"/>
                <w:sz w:val="20"/>
              </w:rPr>
              <w:t>Sviluppo sostenibile</w:t>
            </w:r>
          </w:p>
        </w:tc>
        <w:tc>
          <w:tcPr>
            <w:tcW w:w="3005" w:type="dxa"/>
            <w:vAlign w:val="center"/>
          </w:tcPr>
          <w:p w14:paraId="381B9ADD" w14:textId="77777777" w:rsidR="001B2D48" w:rsidRPr="00E13FF4" w:rsidRDefault="002776FB" w:rsidP="001B2D4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rPr>
            </w:pPr>
            <w:r w:rsidRPr="00E13FF4">
              <w:rPr>
                <w:rFonts w:asciiTheme="majorHAnsi" w:hAnsiTheme="majorHAnsi" w:cstheme="majorHAnsi"/>
                <w:sz w:val="20"/>
              </w:rPr>
              <w:t>Impatto sulla società</w:t>
            </w:r>
          </w:p>
        </w:tc>
        <w:tc>
          <w:tcPr>
            <w:tcW w:w="3006" w:type="dxa"/>
            <w:vAlign w:val="center"/>
          </w:tcPr>
          <w:p w14:paraId="1610D3B9" w14:textId="77777777" w:rsidR="001B2D48" w:rsidRPr="00E13FF4" w:rsidRDefault="002776FB" w:rsidP="001B2D4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rPr>
            </w:pPr>
            <w:r w:rsidRPr="00E13FF4">
              <w:rPr>
                <w:rFonts w:asciiTheme="majorHAnsi" w:hAnsiTheme="majorHAnsi" w:cstheme="majorHAnsi"/>
                <w:sz w:val="20"/>
              </w:rPr>
              <w:t>Compenso della direzione</w:t>
            </w:r>
          </w:p>
        </w:tc>
      </w:tr>
      <w:tr w:rsidR="001B2D48" w:rsidRPr="00E13FF4" w14:paraId="69440F9A" w14:textId="77777777" w:rsidTr="001B2D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vAlign w:val="center"/>
          </w:tcPr>
          <w:p w14:paraId="279852B1" w14:textId="77777777" w:rsidR="001B2D48" w:rsidRPr="00E13FF4" w:rsidRDefault="002776FB" w:rsidP="001B2D48">
            <w:pPr>
              <w:rPr>
                <w:rFonts w:asciiTheme="majorHAnsi" w:hAnsiTheme="majorHAnsi" w:cstheme="majorHAnsi"/>
                <w:b w:val="0"/>
                <w:sz w:val="20"/>
              </w:rPr>
            </w:pPr>
            <w:r w:rsidRPr="00E13FF4">
              <w:rPr>
                <w:rFonts w:asciiTheme="majorHAnsi" w:hAnsiTheme="majorHAnsi" w:cstheme="majorHAnsi"/>
                <w:b w:val="0"/>
                <w:sz w:val="20"/>
              </w:rPr>
              <w:t>Efficienza energetica</w:t>
            </w:r>
          </w:p>
        </w:tc>
        <w:tc>
          <w:tcPr>
            <w:tcW w:w="3005" w:type="dxa"/>
            <w:vAlign w:val="center"/>
          </w:tcPr>
          <w:p w14:paraId="19A9219A" w14:textId="77777777" w:rsidR="001B2D48" w:rsidRPr="00E13FF4" w:rsidRDefault="002776FB" w:rsidP="001B2D4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rPr>
            </w:pPr>
            <w:r w:rsidRPr="00E13FF4">
              <w:rPr>
                <w:rFonts w:asciiTheme="majorHAnsi" w:hAnsiTheme="majorHAnsi" w:cstheme="majorHAnsi"/>
                <w:sz w:val="20"/>
              </w:rPr>
              <w:t>Rispetto per i popoli indigeni</w:t>
            </w:r>
          </w:p>
        </w:tc>
        <w:tc>
          <w:tcPr>
            <w:tcW w:w="3006" w:type="dxa"/>
            <w:vAlign w:val="center"/>
          </w:tcPr>
          <w:p w14:paraId="087AC77F" w14:textId="77777777" w:rsidR="001B2D48" w:rsidRPr="00E13FF4" w:rsidRDefault="002776FB" w:rsidP="001B2D4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rPr>
            </w:pPr>
            <w:r w:rsidRPr="00E13FF4">
              <w:rPr>
                <w:rFonts w:asciiTheme="majorHAnsi" w:hAnsiTheme="majorHAnsi" w:cstheme="majorHAnsi"/>
                <w:sz w:val="20"/>
              </w:rPr>
              <w:t>Indipendenza e composizione del consiglio</w:t>
            </w:r>
          </w:p>
        </w:tc>
      </w:tr>
      <w:tr w:rsidR="001B2D48" w:rsidRPr="00E13FF4" w14:paraId="650EB406" w14:textId="77777777" w:rsidTr="001B2D48">
        <w:tc>
          <w:tcPr>
            <w:cnfStyle w:val="001000000000" w:firstRow="0" w:lastRow="0" w:firstColumn="1" w:lastColumn="0" w:oddVBand="0" w:evenVBand="0" w:oddHBand="0" w:evenHBand="0" w:firstRowFirstColumn="0" w:firstRowLastColumn="0" w:lastRowFirstColumn="0" w:lastRowLastColumn="0"/>
            <w:tcW w:w="3005" w:type="dxa"/>
            <w:vAlign w:val="center"/>
          </w:tcPr>
          <w:p w14:paraId="7317772F" w14:textId="77777777" w:rsidR="001B2D48" w:rsidRPr="00E13FF4" w:rsidRDefault="002776FB" w:rsidP="001B2D48">
            <w:pPr>
              <w:rPr>
                <w:rFonts w:asciiTheme="majorHAnsi" w:hAnsiTheme="majorHAnsi" w:cstheme="majorHAnsi"/>
                <w:b w:val="0"/>
                <w:sz w:val="20"/>
              </w:rPr>
            </w:pPr>
            <w:r w:rsidRPr="00E13FF4">
              <w:rPr>
                <w:rFonts w:asciiTheme="majorHAnsi" w:hAnsiTheme="majorHAnsi" w:cstheme="majorHAnsi"/>
                <w:b w:val="0"/>
                <w:sz w:val="20"/>
              </w:rPr>
              <w:t>Acqua e inquinamento atmosferico</w:t>
            </w:r>
          </w:p>
        </w:tc>
        <w:tc>
          <w:tcPr>
            <w:tcW w:w="3005" w:type="dxa"/>
            <w:vAlign w:val="center"/>
          </w:tcPr>
          <w:p w14:paraId="66444A05" w14:textId="77777777" w:rsidR="001B2D48" w:rsidRPr="00E13FF4" w:rsidRDefault="002776FB" w:rsidP="001B2D4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rPr>
            </w:pPr>
            <w:r w:rsidRPr="00E13FF4">
              <w:rPr>
                <w:rFonts w:asciiTheme="majorHAnsi" w:hAnsiTheme="majorHAnsi" w:cstheme="majorHAnsi"/>
                <w:sz w:val="20"/>
              </w:rPr>
              <w:t>Rapporti tra dipendenti</w:t>
            </w:r>
          </w:p>
        </w:tc>
        <w:tc>
          <w:tcPr>
            <w:tcW w:w="3006" w:type="dxa"/>
            <w:vAlign w:val="center"/>
          </w:tcPr>
          <w:p w14:paraId="64D89D12" w14:textId="77777777" w:rsidR="001B2D48" w:rsidRPr="00E13FF4" w:rsidRDefault="00322F84" w:rsidP="001B2D4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rPr>
            </w:pPr>
            <w:r w:rsidRPr="00E13FF4">
              <w:rPr>
                <w:rFonts w:asciiTheme="majorHAnsi" w:hAnsiTheme="majorHAnsi" w:cstheme="majorHAnsi"/>
                <w:sz w:val="20"/>
              </w:rPr>
              <w:t>Diritti degli azionisti</w:t>
            </w:r>
          </w:p>
        </w:tc>
      </w:tr>
      <w:tr w:rsidR="001B2D48" w:rsidRPr="00E13FF4" w14:paraId="0AEE6E46" w14:textId="77777777" w:rsidTr="001B2D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vAlign w:val="center"/>
          </w:tcPr>
          <w:p w14:paraId="001D2705" w14:textId="77777777" w:rsidR="001B2D48" w:rsidRPr="00E13FF4" w:rsidRDefault="002776FB" w:rsidP="001B2D48">
            <w:pPr>
              <w:rPr>
                <w:rFonts w:asciiTheme="majorHAnsi" w:hAnsiTheme="majorHAnsi" w:cstheme="majorHAnsi"/>
                <w:b w:val="0"/>
                <w:sz w:val="20"/>
                <w:lang w:val="pl-PL"/>
              </w:rPr>
            </w:pPr>
            <w:r w:rsidRPr="00E13FF4">
              <w:rPr>
                <w:rFonts w:asciiTheme="majorHAnsi" w:hAnsiTheme="majorHAnsi" w:cstheme="majorHAnsi"/>
                <w:b w:val="0"/>
                <w:sz w:val="20"/>
                <w:lang w:val="pl-PL"/>
              </w:rPr>
              <w:t>Scarsità d'acqua e gestione dei rifiuti</w:t>
            </w:r>
          </w:p>
        </w:tc>
        <w:tc>
          <w:tcPr>
            <w:tcW w:w="3005" w:type="dxa"/>
            <w:vAlign w:val="center"/>
          </w:tcPr>
          <w:p w14:paraId="796EA050" w14:textId="77777777" w:rsidR="001B2D48" w:rsidRPr="00E13FF4" w:rsidRDefault="002776FB" w:rsidP="001B2D4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rPr>
            </w:pPr>
            <w:r w:rsidRPr="00E13FF4">
              <w:rPr>
                <w:rFonts w:asciiTheme="majorHAnsi" w:hAnsiTheme="majorHAnsi" w:cstheme="majorHAnsi"/>
                <w:sz w:val="20"/>
              </w:rPr>
              <w:t>Condizioni di lavoro</w:t>
            </w:r>
          </w:p>
        </w:tc>
        <w:tc>
          <w:tcPr>
            <w:tcW w:w="3006" w:type="dxa"/>
            <w:vAlign w:val="center"/>
          </w:tcPr>
          <w:p w14:paraId="2409116E" w14:textId="77777777" w:rsidR="001B2D48" w:rsidRPr="00E13FF4" w:rsidRDefault="00322F84" w:rsidP="001B2D4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rPr>
            </w:pPr>
            <w:r w:rsidRPr="00E13FF4">
              <w:rPr>
                <w:rFonts w:asciiTheme="majorHAnsi" w:hAnsiTheme="majorHAnsi" w:cstheme="majorHAnsi"/>
                <w:sz w:val="20"/>
              </w:rPr>
              <w:t>Trasparenza e diffusione delle informazioni</w:t>
            </w:r>
          </w:p>
        </w:tc>
      </w:tr>
      <w:tr w:rsidR="001B2D48" w:rsidRPr="00E13FF4" w14:paraId="63A9EFD3" w14:textId="77777777" w:rsidTr="001B2D48">
        <w:tc>
          <w:tcPr>
            <w:cnfStyle w:val="001000000000" w:firstRow="0" w:lastRow="0" w:firstColumn="1" w:lastColumn="0" w:oddVBand="0" w:evenVBand="0" w:oddHBand="0" w:evenHBand="0" w:firstRowFirstColumn="0" w:firstRowLastColumn="0" w:lastRowFirstColumn="0" w:lastRowLastColumn="0"/>
            <w:tcW w:w="3005" w:type="dxa"/>
            <w:vAlign w:val="center"/>
          </w:tcPr>
          <w:p w14:paraId="78092794" w14:textId="77777777" w:rsidR="001B2D48" w:rsidRPr="00E13FF4" w:rsidRDefault="001B2D48" w:rsidP="001B2D48">
            <w:pPr>
              <w:rPr>
                <w:rFonts w:asciiTheme="majorHAnsi" w:hAnsiTheme="majorHAnsi" w:cstheme="majorHAnsi"/>
                <w:b w:val="0"/>
                <w:sz w:val="20"/>
              </w:rPr>
            </w:pPr>
          </w:p>
        </w:tc>
        <w:tc>
          <w:tcPr>
            <w:tcW w:w="3005" w:type="dxa"/>
            <w:vAlign w:val="center"/>
          </w:tcPr>
          <w:p w14:paraId="124042CB" w14:textId="77777777" w:rsidR="001B2D48" w:rsidRPr="00E13FF4" w:rsidRDefault="002776FB" w:rsidP="001B2D4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lang w:val="pl-PL"/>
              </w:rPr>
            </w:pPr>
            <w:r w:rsidRPr="00E13FF4">
              <w:rPr>
                <w:rFonts w:asciiTheme="majorHAnsi" w:hAnsiTheme="majorHAnsi" w:cstheme="majorHAnsi"/>
                <w:sz w:val="20"/>
                <w:lang w:val="pl-PL"/>
              </w:rPr>
              <w:t>Lavoro minorile e lavoro forzato</w:t>
            </w:r>
          </w:p>
        </w:tc>
        <w:tc>
          <w:tcPr>
            <w:tcW w:w="3006" w:type="dxa"/>
            <w:vAlign w:val="center"/>
          </w:tcPr>
          <w:p w14:paraId="464F1A1F" w14:textId="77777777" w:rsidR="001B2D48" w:rsidRPr="00E13FF4" w:rsidRDefault="001B2D48" w:rsidP="001B2D48">
            <w:pPr>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0"/>
                <w:lang w:val="pl-PL"/>
              </w:rPr>
            </w:pPr>
          </w:p>
        </w:tc>
      </w:tr>
      <w:tr w:rsidR="001B2D48" w:rsidRPr="00E13FF4" w14:paraId="0DA54DA8" w14:textId="77777777" w:rsidTr="001B2D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vAlign w:val="center"/>
          </w:tcPr>
          <w:p w14:paraId="09626652" w14:textId="77777777" w:rsidR="001B2D48" w:rsidRPr="00E13FF4" w:rsidRDefault="002776FB" w:rsidP="001B2D48">
            <w:pPr>
              <w:rPr>
                <w:rFonts w:asciiTheme="majorHAnsi" w:hAnsiTheme="majorHAnsi" w:cstheme="majorHAnsi"/>
                <w:b w:val="0"/>
                <w:sz w:val="20"/>
                <w:lang w:val="pl-PL"/>
              </w:rPr>
            </w:pPr>
            <w:r w:rsidRPr="00E13FF4">
              <w:rPr>
                <w:rFonts w:asciiTheme="majorHAnsi" w:hAnsiTheme="majorHAnsi" w:cstheme="majorHAnsi"/>
                <w:b w:val="0"/>
                <w:sz w:val="20"/>
                <w:lang w:val="pl-PL"/>
              </w:rPr>
              <w:t>Biodiversità e protezione dell'habitat</w:t>
            </w:r>
          </w:p>
        </w:tc>
        <w:tc>
          <w:tcPr>
            <w:tcW w:w="3005" w:type="dxa"/>
            <w:vAlign w:val="center"/>
          </w:tcPr>
          <w:p w14:paraId="1EFC0426" w14:textId="77777777" w:rsidR="001B2D48" w:rsidRPr="00E13FF4" w:rsidRDefault="002776FB" w:rsidP="001B2D4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rPr>
            </w:pPr>
            <w:r w:rsidRPr="00E13FF4">
              <w:rPr>
                <w:rFonts w:asciiTheme="majorHAnsi" w:hAnsiTheme="majorHAnsi" w:cstheme="majorHAnsi"/>
                <w:sz w:val="20"/>
              </w:rPr>
              <w:t>Salute e sicurezza</w:t>
            </w:r>
          </w:p>
        </w:tc>
        <w:tc>
          <w:tcPr>
            <w:tcW w:w="3006" w:type="dxa"/>
            <w:vAlign w:val="center"/>
          </w:tcPr>
          <w:p w14:paraId="4537EDA9" w14:textId="77777777" w:rsidR="001B2D48" w:rsidRPr="00E13FF4" w:rsidRDefault="00322F84" w:rsidP="001B2D48">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0"/>
              </w:rPr>
            </w:pPr>
            <w:r w:rsidRPr="00E13FF4">
              <w:rPr>
                <w:rFonts w:asciiTheme="majorHAnsi" w:hAnsiTheme="majorHAnsi" w:cstheme="majorHAnsi"/>
                <w:sz w:val="20"/>
              </w:rPr>
              <w:t>Misure anticorruzione</w:t>
            </w:r>
          </w:p>
        </w:tc>
      </w:tr>
    </w:tbl>
    <w:p w14:paraId="19A0D0AB" w14:textId="77777777" w:rsidR="00903586" w:rsidRPr="00E13FF4" w:rsidRDefault="001B2D48" w:rsidP="00903586">
      <w:pPr>
        <w:spacing w:after="0"/>
        <w:rPr>
          <w:rFonts w:asciiTheme="majorHAnsi" w:hAnsiTheme="majorHAnsi" w:cstheme="majorHAnsi"/>
          <w:sz w:val="20"/>
        </w:rPr>
      </w:pPr>
      <w:r w:rsidRPr="00E13FF4">
        <w:rPr>
          <w:rFonts w:asciiTheme="majorHAnsi" w:hAnsiTheme="majorHAnsi" w:cstheme="majorHAnsi"/>
          <w:noProof/>
          <w:lang w:eastAsia="en-GB"/>
        </w:rPr>
        <mc:AlternateContent>
          <mc:Choice Requires="wps">
            <w:drawing>
              <wp:anchor distT="0" distB="0" distL="114300" distR="114300" simplePos="0" relativeHeight="251728896" behindDoc="0" locked="0" layoutInCell="1" allowOverlap="1" wp14:anchorId="18B3C08D" wp14:editId="42EEAD80">
                <wp:simplePos x="0" y="0"/>
                <wp:positionH relativeFrom="column">
                  <wp:posOffset>0</wp:posOffset>
                </wp:positionH>
                <wp:positionV relativeFrom="paragraph">
                  <wp:posOffset>58348</wp:posOffset>
                </wp:positionV>
                <wp:extent cx="4927600" cy="635"/>
                <wp:effectExtent l="0" t="0" r="6350" b="0"/>
                <wp:wrapThrough wrapText="bothSides">
                  <wp:wrapPolygon edited="0">
                    <wp:start x="0" y="0"/>
                    <wp:lineTo x="0" y="19851"/>
                    <wp:lineTo x="21544" y="19851"/>
                    <wp:lineTo x="21544" y="0"/>
                    <wp:lineTo x="0" y="0"/>
                  </wp:wrapPolygon>
                </wp:wrapThrough>
                <wp:docPr id="60" name="Text Box 60"/>
                <wp:cNvGraphicFramePr/>
                <a:graphic xmlns:a="http://schemas.openxmlformats.org/drawingml/2006/main">
                  <a:graphicData uri="http://schemas.microsoft.com/office/word/2010/wordprocessingShape">
                    <wps:wsp>
                      <wps:cNvSpPr txBox="1"/>
                      <wps:spPr>
                        <a:xfrm>
                          <a:off x="0" y="0"/>
                          <a:ext cx="4927600" cy="635"/>
                        </a:xfrm>
                        <a:prstGeom prst="rect">
                          <a:avLst/>
                        </a:prstGeom>
                        <a:solidFill>
                          <a:prstClr val="white"/>
                        </a:solidFill>
                        <a:ln>
                          <a:noFill/>
                        </a:ln>
                      </wps:spPr>
                      <wps:txbx>
                        <w:txbxContent>
                          <w:p w14:paraId="19C69B50" w14:textId="77777777" w:rsidR="00903586" w:rsidRPr="00903586" w:rsidRDefault="00903586" w:rsidP="00903586">
                            <w:pPr>
                              <w:pStyle w:val="Legenda"/>
                              <w:spacing w:after="0"/>
                            </w:pPr>
                            <w:r w:rsidRPr="00903586">
                              <w:t>Figura 15. Esempi di criteri ESG utilizzati dagli investitori sostenibili</w:t>
                            </w:r>
                          </w:p>
                          <w:p w14:paraId="73410887" w14:textId="77777777" w:rsidR="00903586" w:rsidRPr="00903586" w:rsidRDefault="00903586" w:rsidP="00903586">
                            <w:pPr>
                              <w:spacing w:after="0"/>
                              <w:rPr>
                                <w:sz w:val="18"/>
                                <w:szCs w:val="18"/>
                              </w:rPr>
                            </w:pPr>
                            <w:r w:rsidRPr="00903586">
                              <w:rPr>
                                <w:i/>
                                <w:iCs/>
                                <w:color w:val="44546A" w:themeColor="text2"/>
                                <w:sz w:val="18"/>
                                <w:szCs w:val="18"/>
                              </w:rPr>
                              <w:t>Fonte:</w:t>
                            </w:r>
                            <w:r w:rsidRPr="00903586">
                              <w:rPr>
                                <w:sz w:val="18"/>
                                <w:szCs w:val="18"/>
                              </w:rPr>
                              <w:t xml:space="preserve"> </w:t>
                            </w:r>
                            <w:hyperlink r:id="rId43" w:history="1">
                              <w:r w:rsidRPr="00903586">
                                <w:rPr>
                                  <w:rStyle w:val="Hipercze"/>
                                  <w:sz w:val="18"/>
                                  <w:szCs w:val="18"/>
                                </w:rPr>
                                <w:t>https://www.ussif.org/sribasics</w:t>
                              </w:r>
                            </w:hyperlink>
                            <w:r w:rsidRPr="00903586">
                              <w:rPr>
                                <w:sz w:val="18"/>
                                <w:szCs w:val="18"/>
                              </w:rPr>
                              <w:t xml:space="preserve"> </w:t>
                            </w:r>
                            <w:r w:rsidRPr="00903586">
                              <w:rPr>
                                <w:i/>
                                <w:iCs/>
                                <w:color w:val="44546A" w:themeColor="text2"/>
                                <w:sz w:val="18"/>
                                <w:szCs w:val="18"/>
                              </w:rPr>
                              <w:t>(05/11/2019)</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8B3C08D" id="Text Box 60" o:spid="_x0000_s1039" type="#_x0000_t202" style="position:absolute;margin-left:0;margin-top:4.6pt;width:388pt;height:.05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" stroked="f">
                <v:textbox style="mso-fit-shape-to-text:t" inset="0,0,0,0">
                  <w:txbxContent>
                    <w:p w14:paraId="19C69B50" w14:textId="77777777" w:rsidR="00903586" w:rsidRPr="00903586" w:rsidRDefault="00903586" w:rsidP="00903586">
                      <w:pPr>
                        <w:pStyle w:val="Legenda"/>
                        <w:spacing w:after="0"/>
                      </w:pPr>
                      <w:r w:rsidRPr="00903586">
                        <w:t>Figura 15. Esempi di criteri ESG utilizzati dagli investitori sostenibili</w:t>
                      </w:r>
                    </w:p>
                    <w:p w14:paraId="73410887" w14:textId="77777777" w:rsidR="00903586" w:rsidRPr="00903586" w:rsidRDefault="00903586" w:rsidP="00903586">
                      <w:pPr>
                        <w:spacing w:after="0"/>
                        <w:rPr>
                          <w:sz w:val="18"/>
                          <w:szCs w:val="18"/>
                        </w:rPr>
                      </w:pPr>
                      <w:r w:rsidRPr="00903586">
                        <w:rPr>
                          <w:i/>
                          <w:iCs/>
                          <w:color w:val="44546A" w:themeColor="text2"/>
                          <w:sz w:val="18"/>
                          <w:szCs w:val="18"/>
                        </w:rPr>
                        <w:t>Fonte:</w:t>
                      </w:r>
                      <w:r w:rsidRPr="00903586">
                        <w:rPr>
                          <w:sz w:val="18"/>
                          <w:szCs w:val="18"/>
                        </w:rPr>
                        <w:t xml:space="preserve"> </w:t>
                      </w:r>
                      <w:hyperlink r:id="rId44" w:history="1">
                        <w:r w:rsidRPr="00903586">
                          <w:rPr>
                            <w:rStyle w:val="Hipercze"/>
                            <w:sz w:val="18"/>
                            <w:szCs w:val="18"/>
                          </w:rPr>
                          <w:t>https://www.ussif.org/sribasics</w:t>
                        </w:r>
                      </w:hyperlink>
                      <w:r w:rsidRPr="00903586">
                        <w:rPr>
                          <w:sz w:val="18"/>
                          <w:szCs w:val="18"/>
                        </w:rPr>
                        <w:t xml:space="preserve"> </w:t>
                      </w:r>
                      <w:r w:rsidRPr="00903586">
                        <w:rPr>
                          <w:i/>
                          <w:iCs/>
                          <w:color w:val="44546A" w:themeColor="text2"/>
                          <w:sz w:val="18"/>
                          <w:szCs w:val="18"/>
                        </w:rPr>
                        <w:t>(05/11/2019)</w:t>
                      </w:r>
                    </w:p>
                  </w:txbxContent>
                </v:textbox>
                <w10:wrap type="through"/>
              </v:shape>
            </w:pict>
          </mc:Fallback>
        </mc:AlternateContent>
      </w:r>
    </w:p>
    <w:p w14:paraId="4971F129" w14:textId="77777777" w:rsidR="001B2D48" w:rsidRPr="00E13FF4" w:rsidRDefault="001B2D48" w:rsidP="005A4583">
      <w:pPr>
        <w:spacing w:after="0"/>
        <w:rPr>
          <w:rFonts w:asciiTheme="majorHAnsi" w:hAnsiTheme="majorHAnsi" w:cstheme="majorHAnsi"/>
          <w:sz w:val="20"/>
        </w:rPr>
      </w:pPr>
    </w:p>
    <w:p w14:paraId="333D7ED9" w14:textId="77777777" w:rsidR="0085180E" w:rsidRPr="00E13FF4" w:rsidRDefault="001B2D48" w:rsidP="001B2D48">
      <w:pPr>
        <w:rPr>
          <w:rFonts w:asciiTheme="majorHAnsi" w:hAnsiTheme="majorHAnsi" w:cstheme="majorHAnsi"/>
          <w:sz w:val="20"/>
        </w:rPr>
      </w:pPr>
      <w:r w:rsidRPr="00E13FF4">
        <w:rPr>
          <w:rFonts w:asciiTheme="majorHAnsi" w:hAnsiTheme="majorHAnsi" w:cstheme="majorHAnsi"/>
          <w:sz w:val="20"/>
        </w:rPr>
        <w:br w:type="page"/>
      </w:r>
    </w:p>
    <w:p w14:paraId="59381336" w14:textId="77777777" w:rsidR="00DD2C33" w:rsidRPr="00E13FF4" w:rsidRDefault="00DD2C33" w:rsidP="00E42F88">
      <w:pPr>
        <w:pStyle w:val="Akapitzlist"/>
        <w:spacing w:after="240"/>
        <w:ind w:left="0"/>
        <w:jc w:val="both"/>
        <w:rPr>
          <w:rFonts w:asciiTheme="majorHAnsi" w:hAnsiTheme="majorHAnsi" w:cstheme="majorHAnsi"/>
          <w:sz w:val="20"/>
          <w:lang w:val="pl-PL"/>
        </w:rPr>
      </w:pPr>
      <w:r w:rsidRPr="00E13FF4">
        <w:rPr>
          <w:rFonts w:asciiTheme="majorHAnsi" w:hAnsiTheme="majorHAnsi" w:cstheme="majorHAnsi"/>
          <w:sz w:val="20"/>
        </w:rPr>
        <w:lastRenderedPageBreak/>
        <w:t>LO4 Approccio ecologico negli affari</w:t>
      </w:r>
    </w:p>
    <w:p w14:paraId="5745EA4A" w14:textId="77777777" w:rsidR="008C4C21" w:rsidRPr="00E13FF4" w:rsidRDefault="008C4C21" w:rsidP="008C4C21">
      <w:pPr>
        <w:spacing w:after="240"/>
        <w:jc w:val="both"/>
        <w:rPr>
          <w:rFonts w:asciiTheme="majorHAnsi" w:hAnsiTheme="majorHAnsi" w:cstheme="majorHAnsi"/>
          <w:sz w:val="20"/>
          <w:lang w:val="pl-PL"/>
        </w:rPr>
      </w:pPr>
      <w:r w:rsidRPr="00E13FF4">
        <w:rPr>
          <w:rFonts w:asciiTheme="majorHAnsi" w:hAnsiTheme="majorHAnsi" w:cstheme="majorHAnsi"/>
          <w:sz w:val="20"/>
          <w:lang w:val="pl-PL"/>
        </w:rPr>
        <w:t>DIAPOSITIVE 1</w:t>
      </w:r>
    </w:p>
    <w:p w14:paraId="3039F366" w14:textId="77777777" w:rsidR="008C4C21" w:rsidRPr="00E13FF4" w:rsidRDefault="008C4C21" w:rsidP="008C4C21">
      <w:pPr>
        <w:spacing w:after="240"/>
        <w:jc w:val="both"/>
        <w:rPr>
          <w:rFonts w:asciiTheme="majorHAnsi" w:hAnsiTheme="majorHAnsi" w:cstheme="majorHAnsi"/>
          <w:sz w:val="20"/>
          <w:lang w:val="pl-PL"/>
        </w:rPr>
      </w:pPr>
      <w:r w:rsidRPr="00E13FF4">
        <w:rPr>
          <w:rFonts w:asciiTheme="majorHAnsi" w:hAnsiTheme="majorHAnsi" w:cstheme="majorHAnsi"/>
          <w:sz w:val="20"/>
          <w:lang w:val="pl-PL"/>
        </w:rPr>
        <w:t>Movimento crescente di consumatori orientati all'ambiente</w:t>
      </w:r>
    </w:p>
    <w:p w14:paraId="3A3B53B7" w14:textId="77777777" w:rsidR="008C4C21" w:rsidRPr="00E13FF4" w:rsidRDefault="008C4C21" w:rsidP="008C4C21">
      <w:pPr>
        <w:spacing w:after="240"/>
        <w:jc w:val="both"/>
        <w:rPr>
          <w:rFonts w:asciiTheme="majorHAnsi" w:hAnsiTheme="majorHAnsi" w:cstheme="majorHAnsi"/>
          <w:sz w:val="20"/>
          <w:lang w:val="pl-PL"/>
        </w:rPr>
      </w:pPr>
      <w:r w:rsidRPr="00E13FF4">
        <w:rPr>
          <w:rFonts w:asciiTheme="majorHAnsi" w:hAnsiTheme="majorHAnsi" w:cstheme="majorHAnsi"/>
          <w:sz w:val="20"/>
          <w:lang w:val="pl-PL"/>
        </w:rPr>
        <w:t>I tempi in cui il prezzo era un fattore importante nelle decisioni dei consumatori sono finiti. Al giorno d'oggi, le aziende devono concentrarsi non solo sul prodotto stesso, ma anche sull'impatto complessivo che ha sull'ambiente e sulla società. Tendenze in crescita come "rifiuti zero" creano opportunità per nuovi marchi e dovrebbero essere prese in considerazione dai responsabili delle decisioni nella loro strategia di produzione e distribuzione. Secondo un rapporto di Morgan Stanley (2019), l'85% dei singoli investitori era interessato allo sviluppo sostenibile e fino al 95% al ​​gruppo Millennials.</w:t>
      </w:r>
      <w:r w:rsidRPr="00E13FF4">
        <w:rPr>
          <w:rStyle w:val="Odwoanieprzypisudolnego"/>
          <w:rFonts w:asciiTheme="majorHAnsi" w:hAnsiTheme="majorHAnsi" w:cstheme="majorHAnsi"/>
          <w:sz w:val="20"/>
        </w:rPr>
        <w:footnoteReference w:id="17"/>
      </w:r>
      <w:r w:rsidRPr="00E13FF4">
        <w:rPr>
          <w:rFonts w:asciiTheme="majorHAnsi" w:hAnsiTheme="majorHAnsi" w:cstheme="majorHAnsi"/>
          <w:sz w:val="20"/>
          <w:lang w:val="pl-PL"/>
        </w:rPr>
        <w:t xml:space="preserve"> Sebbene i consumatori dicano di voler investire in aziende sostenibili, lo fanno raramente, secondo le ultime ricerche. </w:t>
      </w:r>
      <w:r w:rsidRPr="00E13FF4">
        <w:rPr>
          <w:rStyle w:val="Odwoanieprzypisudolnego"/>
          <w:rFonts w:asciiTheme="majorHAnsi" w:hAnsiTheme="majorHAnsi" w:cstheme="majorHAnsi"/>
          <w:sz w:val="20"/>
        </w:rPr>
        <w:footnoteReference w:id="18"/>
      </w:r>
    </w:p>
    <w:p w14:paraId="11076E26" w14:textId="77777777" w:rsidR="008C4C21" w:rsidRPr="00E13FF4" w:rsidRDefault="008C4C21" w:rsidP="008C4C21">
      <w:pPr>
        <w:pStyle w:val="Akapitzlist"/>
        <w:spacing w:after="240"/>
        <w:ind w:left="0"/>
        <w:jc w:val="both"/>
        <w:rPr>
          <w:rFonts w:asciiTheme="majorHAnsi" w:hAnsiTheme="majorHAnsi" w:cstheme="majorHAnsi"/>
          <w:sz w:val="20"/>
          <w:lang w:val="pl-PL"/>
        </w:rPr>
      </w:pPr>
      <w:r w:rsidRPr="00E13FF4">
        <w:rPr>
          <w:rFonts w:asciiTheme="majorHAnsi" w:hAnsiTheme="majorHAnsi" w:cstheme="majorHAnsi"/>
          <w:sz w:val="20"/>
          <w:lang w:val="pl-PL"/>
        </w:rPr>
        <w:t>Nello stesso studio, gli autori condividono le azioni che le aziende dovrebbero prendere in considerazione per convincere più consumatori sul consumo sostenibile:</w:t>
      </w:r>
    </w:p>
    <w:p w14:paraId="65195309" w14:textId="77777777" w:rsidR="008C4C21" w:rsidRPr="00E13FF4" w:rsidRDefault="008C4C21" w:rsidP="008C4C21">
      <w:pPr>
        <w:pStyle w:val="Akapitzlist"/>
        <w:spacing w:after="240"/>
        <w:ind w:left="0"/>
        <w:jc w:val="both"/>
        <w:rPr>
          <w:rFonts w:asciiTheme="majorHAnsi" w:hAnsiTheme="majorHAnsi" w:cstheme="majorHAnsi"/>
          <w:sz w:val="20"/>
          <w:lang w:val="pl-PL"/>
        </w:rPr>
      </w:pPr>
    </w:p>
    <w:p w14:paraId="1793790F" w14:textId="77777777" w:rsidR="008C4C21" w:rsidRPr="00E13FF4" w:rsidRDefault="008C4C21" w:rsidP="008C4C21">
      <w:pPr>
        <w:spacing w:after="240"/>
        <w:jc w:val="both"/>
        <w:rPr>
          <w:rFonts w:asciiTheme="majorHAnsi" w:hAnsiTheme="majorHAnsi" w:cstheme="majorHAnsi"/>
          <w:sz w:val="20"/>
          <w:lang w:val="pl-PL"/>
        </w:rPr>
      </w:pPr>
      <w:r w:rsidRPr="00E13FF4">
        <w:rPr>
          <w:rFonts w:asciiTheme="majorHAnsi" w:hAnsiTheme="majorHAnsi" w:cstheme="majorHAnsi"/>
          <w:sz w:val="20"/>
          <w:lang w:val="pl-PL"/>
        </w:rPr>
        <w:t>1) Usa l'influenza sociale</w:t>
      </w:r>
    </w:p>
    <w:p w14:paraId="0F97E06F" w14:textId="77777777" w:rsidR="008C4C21" w:rsidRPr="00E13FF4" w:rsidRDefault="008C4C21" w:rsidP="008C4C21">
      <w:pPr>
        <w:spacing w:after="240"/>
        <w:jc w:val="both"/>
        <w:rPr>
          <w:rFonts w:asciiTheme="majorHAnsi" w:hAnsiTheme="majorHAnsi" w:cstheme="majorHAnsi"/>
          <w:sz w:val="20"/>
          <w:lang w:val="pl-PL"/>
        </w:rPr>
      </w:pPr>
      <w:r w:rsidRPr="00E13FF4">
        <w:rPr>
          <w:rFonts w:asciiTheme="majorHAnsi" w:hAnsiTheme="majorHAnsi" w:cstheme="majorHAnsi"/>
          <w:sz w:val="20"/>
          <w:lang w:val="pl-PL"/>
        </w:rPr>
        <w:t>2) Sviluppa buone abitudini</w:t>
      </w:r>
    </w:p>
    <w:p w14:paraId="5089CDB4" w14:textId="77777777" w:rsidR="008C4C21" w:rsidRPr="00E13FF4" w:rsidRDefault="008C4C21" w:rsidP="008C4C21">
      <w:pPr>
        <w:spacing w:after="240"/>
        <w:jc w:val="both"/>
        <w:rPr>
          <w:rFonts w:asciiTheme="majorHAnsi" w:hAnsiTheme="majorHAnsi" w:cstheme="majorHAnsi"/>
          <w:sz w:val="20"/>
          <w:lang w:val="pl-PL"/>
        </w:rPr>
      </w:pPr>
      <w:r w:rsidRPr="00E13FF4">
        <w:rPr>
          <w:rFonts w:asciiTheme="majorHAnsi" w:hAnsiTheme="majorHAnsi" w:cstheme="majorHAnsi"/>
          <w:sz w:val="20"/>
          <w:lang w:val="pl-PL"/>
        </w:rPr>
        <w:t>3) Usa l'effetto domino</w:t>
      </w:r>
    </w:p>
    <w:p w14:paraId="51A541E4" w14:textId="77777777" w:rsidR="008C4C21" w:rsidRPr="00E13FF4" w:rsidRDefault="008C4C21" w:rsidP="008C4C21">
      <w:pPr>
        <w:spacing w:after="240"/>
        <w:jc w:val="both"/>
        <w:rPr>
          <w:rFonts w:asciiTheme="majorHAnsi" w:hAnsiTheme="majorHAnsi" w:cstheme="majorHAnsi"/>
          <w:sz w:val="20"/>
          <w:lang w:val="pl-PL"/>
        </w:rPr>
      </w:pPr>
      <w:r w:rsidRPr="00E13FF4">
        <w:rPr>
          <w:rFonts w:asciiTheme="majorHAnsi" w:hAnsiTheme="majorHAnsi" w:cstheme="majorHAnsi"/>
          <w:sz w:val="20"/>
          <w:lang w:val="pl-PL"/>
        </w:rPr>
        <w:t>4) Decidi se parlare al tuo cuore o al tuo cervello</w:t>
      </w:r>
    </w:p>
    <w:p w14:paraId="4BDD96F4" w14:textId="77777777" w:rsidR="008C4C21" w:rsidRPr="00E13FF4" w:rsidRDefault="008C4C21" w:rsidP="008C4C21">
      <w:pPr>
        <w:pStyle w:val="Akapitzlist"/>
        <w:spacing w:after="240"/>
        <w:ind w:left="0"/>
        <w:jc w:val="both"/>
        <w:rPr>
          <w:rFonts w:asciiTheme="majorHAnsi" w:hAnsiTheme="majorHAnsi" w:cstheme="majorHAnsi"/>
          <w:sz w:val="20"/>
          <w:lang w:val="pl-PL"/>
        </w:rPr>
      </w:pPr>
      <w:r w:rsidRPr="00E13FF4">
        <w:rPr>
          <w:rFonts w:asciiTheme="majorHAnsi" w:hAnsiTheme="majorHAnsi" w:cstheme="majorHAnsi"/>
          <w:sz w:val="20"/>
          <w:lang w:val="pl-PL"/>
        </w:rPr>
        <w:t>5) Preferisci l'esperienza alla proprietà</w:t>
      </w:r>
    </w:p>
    <w:p w14:paraId="0EF4E14A" w14:textId="77777777" w:rsidR="00F80F53" w:rsidRPr="00E13FF4" w:rsidRDefault="008C4C21" w:rsidP="00F80F53">
      <w:pPr>
        <w:spacing w:after="240"/>
        <w:jc w:val="both"/>
        <w:rPr>
          <w:rFonts w:asciiTheme="majorHAnsi" w:hAnsiTheme="majorHAnsi" w:cstheme="majorHAnsi"/>
          <w:sz w:val="20"/>
          <w:lang w:val="pl-PL"/>
        </w:rPr>
      </w:pPr>
      <w:r w:rsidRPr="00E13FF4">
        <w:rPr>
          <w:rFonts w:asciiTheme="majorHAnsi" w:hAnsiTheme="majorHAnsi" w:cstheme="majorHAnsi"/>
          <w:noProof/>
          <w:lang w:eastAsia="en-GB"/>
        </w:rPr>
        <w:drawing>
          <wp:anchor distT="0" distB="0" distL="114300" distR="114300" simplePos="0" relativeHeight="251796480" behindDoc="0" locked="0" layoutInCell="1" allowOverlap="1" wp14:anchorId="5982DDE4" wp14:editId="0C875E3B">
            <wp:simplePos x="0" y="0"/>
            <wp:positionH relativeFrom="margin">
              <wp:align>left</wp:align>
            </wp:positionH>
            <wp:positionV relativeFrom="paragraph">
              <wp:posOffset>28382</wp:posOffset>
            </wp:positionV>
            <wp:extent cx="4481465" cy="2652665"/>
            <wp:effectExtent l="0" t="0" r="0" b="0"/>
            <wp:wrapNone/>
            <wp:docPr id="4" name="Chart 4">
              <a:extLst xmlns:a="http://schemas.openxmlformats.org/drawingml/2006/main">
                <a:ext uri="{FF2B5EF4-FFF2-40B4-BE49-F238E27FC236}">
                  <a16:creationId xmlns:a16="http://schemas.microsoft.com/office/drawing/2014/main" id="{8A69718B-0109-42C5-9CFF-7CA9AD0596F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14:sizeRelH relativeFrom="margin">
              <wp14:pctWidth>0</wp14:pctWidth>
            </wp14:sizeRelH>
            <wp14:sizeRelV relativeFrom="margin">
              <wp14:pctHeight>0</wp14:pctHeight>
            </wp14:sizeRelV>
          </wp:anchor>
        </w:drawing>
      </w:r>
    </w:p>
    <w:p w14:paraId="637394C5" w14:textId="77777777" w:rsidR="00F80F53" w:rsidRPr="00E13FF4" w:rsidRDefault="00F80F53" w:rsidP="00CB7F70">
      <w:pPr>
        <w:spacing w:after="0"/>
        <w:jc w:val="both"/>
        <w:rPr>
          <w:rFonts w:asciiTheme="majorHAnsi" w:hAnsiTheme="majorHAnsi" w:cstheme="majorHAnsi"/>
          <w:sz w:val="20"/>
          <w:lang w:val="pl-PL"/>
        </w:rPr>
      </w:pPr>
    </w:p>
    <w:p w14:paraId="641F2EF1" w14:textId="77777777" w:rsidR="00F80F53" w:rsidRPr="00E13FF4" w:rsidRDefault="00F80F53" w:rsidP="00CB7F70">
      <w:pPr>
        <w:spacing w:after="0"/>
        <w:jc w:val="both"/>
        <w:rPr>
          <w:rFonts w:asciiTheme="majorHAnsi" w:hAnsiTheme="majorHAnsi" w:cstheme="majorHAnsi"/>
          <w:sz w:val="20"/>
          <w:lang w:val="pl-PL"/>
        </w:rPr>
      </w:pPr>
    </w:p>
    <w:p w14:paraId="1B58CA8A" w14:textId="77777777" w:rsidR="00F80F53" w:rsidRPr="00E13FF4" w:rsidRDefault="00F80F53" w:rsidP="00CB7F70">
      <w:pPr>
        <w:spacing w:after="0"/>
        <w:jc w:val="both"/>
        <w:rPr>
          <w:rFonts w:asciiTheme="majorHAnsi" w:hAnsiTheme="majorHAnsi" w:cstheme="majorHAnsi"/>
          <w:sz w:val="20"/>
          <w:lang w:val="pl-PL"/>
        </w:rPr>
      </w:pPr>
    </w:p>
    <w:p w14:paraId="385ED4B1" w14:textId="77777777" w:rsidR="00F80F53" w:rsidRPr="00E13FF4" w:rsidRDefault="00F80F53" w:rsidP="00CB7F70">
      <w:pPr>
        <w:spacing w:after="0"/>
        <w:jc w:val="both"/>
        <w:rPr>
          <w:rFonts w:asciiTheme="majorHAnsi" w:hAnsiTheme="majorHAnsi" w:cstheme="majorHAnsi"/>
          <w:sz w:val="20"/>
          <w:lang w:val="pl-PL"/>
        </w:rPr>
      </w:pPr>
    </w:p>
    <w:p w14:paraId="29126BDC" w14:textId="77777777" w:rsidR="00F80F53" w:rsidRPr="00E13FF4" w:rsidRDefault="00F80F53" w:rsidP="00CB7F70">
      <w:pPr>
        <w:spacing w:after="0"/>
        <w:jc w:val="both"/>
        <w:rPr>
          <w:rFonts w:asciiTheme="majorHAnsi" w:hAnsiTheme="majorHAnsi" w:cstheme="majorHAnsi"/>
          <w:sz w:val="20"/>
          <w:lang w:val="pl-PL"/>
        </w:rPr>
      </w:pPr>
    </w:p>
    <w:p w14:paraId="42C09D6E" w14:textId="77777777" w:rsidR="00F80F53" w:rsidRPr="00E13FF4" w:rsidRDefault="00F80F53" w:rsidP="00CB7F70">
      <w:pPr>
        <w:spacing w:after="0"/>
        <w:jc w:val="both"/>
        <w:rPr>
          <w:rFonts w:asciiTheme="majorHAnsi" w:hAnsiTheme="majorHAnsi" w:cstheme="majorHAnsi"/>
          <w:sz w:val="20"/>
          <w:lang w:val="pl-PL"/>
        </w:rPr>
      </w:pPr>
    </w:p>
    <w:p w14:paraId="72645BE0" w14:textId="77777777" w:rsidR="00F80F53" w:rsidRPr="00E13FF4" w:rsidRDefault="00F80F53" w:rsidP="00CB7F70">
      <w:pPr>
        <w:spacing w:after="0"/>
        <w:jc w:val="both"/>
        <w:rPr>
          <w:rFonts w:asciiTheme="majorHAnsi" w:hAnsiTheme="majorHAnsi" w:cstheme="majorHAnsi"/>
          <w:sz w:val="20"/>
          <w:lang w:val="pl-PL"/>
        </w:rPr>
      </w:pPr>
    </w:p>
    <w:p w14:paraId="0F259531" w14:textId="77777777" w:rsidR="00F80F53" w:rsidRPr="00E13FF4" w:rsidRDefault="00F80F53" w:rsidP="00CB7F70">
      <w:pPr>
        <w:spacing w:after="0"/>
        <w:jc w:val="both"/>
        <w:rPr>
          <w:rFonts w:asciiTheme="majorHAnsi" w:hAnsiTheme="majorHAnsi" w:cstheme="majorHAnsi"/>
          <w:sz w:val="20"/>
          <w:lang w:val="pl-PL"/>
        </w:rPr>
      </w:pPr>
    </w:p>
    <w:p w14:paraId="2FD9332C" w14:textId="77777777" w:rsidR="00F80F53" w:rsidRPr="00E13FF4" w:rsidRDefault="00F80F53" w:rsidP="00CB7F70">
      <w:pPr>
        <w:spacing w:after="0"/>
        <w:jc w:val="both"/>
        <w:rPr>
          <w:rFonts w:asciiTheme="majorHAnsi" w:hAnsiTheme="majorHAnsi" w:cstheme="majorHAnsi"/>
          <w:sz w:val="20"/>
          <w:lang w:val="pl-PL"/>
        </w:rPr>
      </w:pPr>
    </w:p>
    <w:p w14:paraId="3A8CE591" w14:textId="77777777" w:rsidR="00F80F53" w:rsidRPr="00E13FF4" w:rsidRDefault="00F80F53" w:rsidP="00CB7F70">
      <w:pPr>
        <w:spacing w:after="0"/>
        <w:jc w:val="both"/>
        <w:rPr>
          <w:rFonts w:asciiTheme="majorHAnsi" w:hAnsiTheme="majorHAnsi" w:cstheme="majorHAnsi"/>
          <w:sz w:val="20"/>
          <w:lang w:val="pl-PL"/>
        </w:rPr>
      </w:pPr>
    </w:p>
    <w:p w14:paraId="4A4FC990" w14:textId="77777777" w:rsidR="00F80F53" w:rsidRPr="00E13FF4" w:rsidRDefault="00F80F53" w:rsidP="00CB7F70">
      <w:pPr>
        <w:spacing w:after="0"/>
        <w:jc w:val="both"/>
        <w:rPr>
          <w:rFonts w:asciiTheme="majorHAnsi" w:hAnsiTheme="majorHAnsi" w:cstheme="majorHAnsi"/>
          <w:sz w:val="20"/>
          <w:lang w:val="pl-PL"/>
        </w:rPr>
      </w:pPr>
    </w:p>
    <w:p w14:paraId="71F463A3" w14:textId="77777777" w:rsidR="00F80F53" w:rsidRPr="00E13FF4" w:rsidRDefault="00F80F53" w:rsidP="00CB7F70">
      <w:pPr>
        <w:spacing w:after="0"/>
        <w:jc w:val="both"/>
        <w:rPr>
          <w:rFonts w:asciiTheme="majorHAnsi" w:hAnsiTheme="majorHAnsi" w:cstheme="majorHAnsi"/>
          <w:sz w:val="20"/>
          <w:lang w:val="pl-PL"/>
        </w:rPr>
      </w:pPr>
    </w:p>
    <w:p w14:paraId="479F6B9C" w14:textId="77777777" w:rsidR="00F80F53" w:rsidRPr="00E13FF4" w:rsidRDefault="00F80F53" w:rsidP="00CB7F70">
      <w:pPr>
        <w:spacing w:after="0"/>
        <w:jc w:val="both"/>
        <w:rPr>
          <w:rFonts w:asciiTheme="majorHAnsi" w:hAnsiTheme="majorHAnsi" w:cstheme="majorHAnsi"/>
          <w:sz w:val="20"/>
          <w:lang w:val="pl-PL"/>
        </w:rPr>
      </w:pPr>
    </w:p>
    <w:p w14:paraId="49F02234" w14:textId="77777777" w:rsidR="00262262" w:rsidRPr="00E13FF4" w:rsidRDefault="00262262" w:rsidP="00CB7F70">
      <w:pPr>
        <w:spacing w:after="0"/>
        <w:jc w:val="both"/>
        <w:rPr>
          <w:rFonts w:asciiTheme="majorHAnsi" w:hAnsiTheme="majorHAnsi" w:cstheme="majorHAnsi"/>
          <w:sz w:val="20"/>
          <w:lang w:val="pl-PL"/>
        </w:rPr>
      </w:pPr>
      <w:r w:rsidRPr="00E13FF4">
        <w:rPr>
          <w:rFonts w:asciiTheme="majorHAnsi" w:hAnsiTheme="majorHAnsi" w:cstheme="majorHAnsi"/>
          <w:noProof/>
          <w:sz w:val="20"/>
          <w:lang w:eastAsia="en-GB"/>
        </w:rPr>
        <mc:AlternateContent>
          <mc:Choice Requires="wps">
            <w:drawing>
              <wp:anchor distT="0" distB="0" distL="114300" distR="114300" simplePos="0" relativeHeight="251798528" behindDoc="0" locked="0" layoutInCell="1" allowOverlap="1" wp14:anchorId="4036AE36" wp14:editId="0CC630FA">
                <wp:simplePos x="0" y="0"/>
                <wp:positionH relativeFrom="column">
                  <wp:posOffset>0</wp:posOffset>
                </wp:positionH>
                <wp:positionV relativeFrom="paragraph">
                  <wp:posOffset>74377</wp:posOffset>
                </wp:positionV>
                <wp:extent cx="4142740" cy="440690"/>
                <wp:effectExtent l="0" t="0" r="0" b="0"/>
                <wp:wrapNone/>
                <wp:docPr id="47" name="Text Box 47"/>
                <wp:cNvGraphicFramePr/>
                <a:graphic xmlns:a="http://schemas.openxmlformats.org/drawingml/2006/main">
                  <a:graphicData uri="http://schemas.microsoft.com/office/word/2010/wordprocessingShape">
                    <wps:wsp>
                      <wps:cNvSpPr txBox="1"/>
                      <wps:spPr>
                        <a:xfrm>
                          <a:off x="0" y="0"/>
                          <a:ext cx="4142740" cy="440690"/>
                        </a:xfrm>
                        <a:prstGeom prst="rect">
                          <a:avLst/>
                        </a:prstGeom>
                        <a:solidFill>
                          <a:prstClr val="white"/>
                        </a:solidFill>
                        <a:ln>
                          <a:noFill/>
                        </a:ln>
                      </wps:spPr>
                      <wps:txbx>
                        <w:txbxContent>
                          <w:p w14:paraId="5B7DB541" w14:textId="77777777" w:rsidR="00262262" w:rsidRDefault="00262262" w:rsidP="00262262">
                            <w:pPr>
                              <w:pStyle w:val="Legenda"/>
                              <w:spacing w:after="0"/>
                            </w:pPr>
                            <w:r>
                              <w:t>Figura 16. Temi degli interessi sostenibili degli investitori</w:t>
                            </w:r>
                          </w:p>
                          <w:p w14:paraId="009F615F" w14:textId="77777777" w:rsidR="00262262" w:rsidRPr="00F80F53" w:rsidRDefault="00262262" w:rsidP="00262262">
                            <w:pPr>
                              <w:spacing w:after="0"/>
                            </w:pPr>
                            <w:r w:rsidRPr="00F80F53">
                              <w:rPr>
                                <w:i/>
                                <w:iCs/>
                                <w:color w:val="44546A" w:themeColor="text2"/>
                                <w:sz w:val="18"/>
                                <w:szCs w:val="18"/>
                              </w:rPr>
                              <w:t>Fonte:</w:t>
                            </w:r>
                            <w:r>
                              <w:t xml:space="preserve"> </w:t>
                            </w:r>
                            <w:hyperlink r:id="rId46" w:history="1">
                              <w:r w:rsidRPr="00F80F53">
                                <w:rPr>
                                  <w:rStyle w:val="Hipercze"/>
                                  <w:sz w:val="18"/>
                                </w:rPr>
                                <w:t>https://www.morganstanley.com/ideas/sustainable-investing-growing-interest-and-adoption</w:t>
                              </w:r>
                            </w:hyperlink>
                            <w:r w:rsidRPr="00F80F53">
                              <w:rPr>
                                <w:sz w:val="18"/>
                              </w:rPr>
                              <w:t xml:space="preserve"> </w:t>
                            </w:r>
                            <w:r w:rsidRPr="00F80F53">
                              <w:rPr>
                                <w:i/>
                                <w:iCs/>
                                <w:color w:val="44546A" w:themeColor="text2"/>
                                <w:sz w:val="18"/>
                                <w:szCs w:val="18"/>
                              </w:rPr>
                              <w:t>(05/11/2019)</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036AE36" id="Text Box 47" o:spid="_x0000_s1040" type="#_x0000_t202" style="position:absolute;left:0;text-align:left;margin-left:0;margin-top:5.85pt;width:326.2pt;height:34.7pt;z-index:251798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" stroked="f">
                <v:textbox style="mso-fit-shape-to-text:t" inset="0,0,0,0">
                  <w:txbxContent>
                    <w:p w14:paraId="5B7DB541" w14:textId="77777777" w:rsidR="00262262" w:rsidRDefault="00262262" w:rsidP="00262262">
                      <w:pPr>
                        <w:pStyle w:val="Legenda"/>
                        <w:spacing w:after="0"/>
                      </w:pPr>
                      <w:r>
                        <w:t>Figura 16. Temi degli interessi sostenibili degli investitori</w:t>
                      </w:r>
                    </w:p>
                    <w:p w14:paraId="009F615F" w14:textId="77777777" w:rsidR="00262262" w:rsidRPr="00F80F53" w:rsidRDefault="00262262" w:rsidP="00262262">
                      <w:pPr>
                        <w:spacing w:after="0"/>
                      </w:pPr>
                      <w:r w:rsidRPr="00F80F53">
                        <w:rPr>
                          <w:i/>
                          <w:iCs/>
                          <w:color w:val="44546A" w:themeColor="text2"/>
                          <w:sz w:val="18"/>
                          <w:szCs w:val="18"/>
                        </w:rPr>
                        <w:t>Fonte:</w:t>
                      </w:r>
                      <w:r>
                        <w:t xml:space="preserve"> </w:t>
                      </w:r>
                      <w:hyperlink r:id="rId47" w:history="1">
                        <w:r w:rsidRPr="00F80F53">
                          <w:rPr>
                            <w:rStyle w:val="Hipercze"/>
                            <w:sz w:val="18"/>
                          </w:rPr>
                          <w:t>https://www.morganstanley.com/ideas/sustainable-investing-growing-interest-and-adoption</w:t>
                        </w:r>
                      </w:hyperlink>
                      <w:r w:rsidRPr="00F80F53">
                        <w:rPr>
                          <w:sz w:val="18"/>
                        </w:rPr>
                        <w:t xml:space="preserve"> </w:t>
                      </w:r>
                      <w:r w:rsidRPr="00F80F53">
                        <w:rPr>
                          <w:i/>
                          <w:iCs/>
                          <w:color w:val="44546A" w:themeColor="text2"/>
                          <w:sz w:val="18"/>
                          <w:szCs w:val="18"/>
                        </w:rPr>
                        <w:t>(05/11/2019)</w:t>
                      </w:r>
                    </w:p>
                  </w:txbxContent>
                </v:textbox>
              </v:shape>
            </w:pict>
          </mc:Fallback>
        </mc:AlternateContent>
      </w:r>
    </w:p>
    <w:p w14:paraId="1C5CF943" w14:textId="77777777" w:rsidR="00262262" w:rsidRPr="00E13FF4" w:rsidRDefault="00262262" w:rsidP="00CB7F70">
      <w:pPr>
        <w:spacing w:after="0"/>
        <w:jc w:val="both"/>
        <w:rPr>
          <w:rFonts w:asciiTheme="majorHAnsi" w:hAnsiTheme="majorHAnsi" w:cstheme="majorHAnsi"/>
          <w:sz w:val="20"/>
          <w:lang w:val="pl-PL"/>
        </w:rPr>
      </w:pPr>
    </w:p>
    <w:p w14:paraId="35D3470C" w14:textId="77777777" w:rsidR="00262262" w:rsidRPr="00E13FF4" w:rsidRDefault="00262262" w:rsidP="00CB7F70">
      <w:pPr>
        <w:spacing w:after="0"/>
        <w:jc w:val="both"/>
        <w:rPr>
          <w:rFonts w:asciiTheme="majorHAnsi" w:hAnsiTheme="majorHAnsi" w:cstheme="majorHAnsi"/>
          <w:sz w:val="20"/>
          <w:lang w:val="pl-PL"/>
        </w:rPr>
      </w:pPr>
    </w:p>
    <w:p w14:paraId="05596AAF" w14:textId="77777777" w:rsidR="00C82CE1" w:rsidRPr="00E13FF4" w:rsidRDefault="00C82CE1" w:rsidP="00CB7F70">
      <w:pPr>
        <w:spacing w:after="0"/>
        <w:jc w:val="both"/>
        <w:rPr>
          <w:rFonts w:asciiTheme="majorHAnsi" w:hAnsiTheme="majorHAnsi" w:cstheme="majorHAnsi"/>
          <w:sz w:val="20"/>
          <w:lang w:val="pl-PL"/>
        </w:rPr>
      </w:pPr>
    </w:p>
    <w:p w14:paraId="525E6E73" w14:textId="77777777" w:rsidR="00C82CE1" w:rsidRPr="00E13FF4" w:rsidRDefault="00C82CE1">
      <w:pPr>
        <w:rPr>
          <w:rFonts w:asciiTheme="majorHAnsi" w:hAnsiTheme="majorHAnsi" w:cstheme="majorHAnsi"/>
          <w:sz w:val="20"/>
          <w:lang w:val="pl-PL"/>
        </w:rPr>
      </w:pPr>
      <w:r w:rsidRPr="00E13FF4">
        <w:rPr>
          <w:rFonts w:asciiTheme="majorHAnsi" w:hAnsiTheme="majorHAnsi" w:cstheme="majorHAnsi"/>
          <w:sz w:val="20"/>
          <w:lang w:val="pl-PL"/>
        </w:rPr>
        <w:lastRenderedPageBreak/>
        <w:br w:type="page"/>
      </w:r>
    </w:p>
    <w:p w14:paraId="0BC0186F" w14:textId="77777777" w:rsidR="008C4C21" w:rsidRPr="00E13FF4" w:rsidRDefault="008C4C21" w:rsidP="008C4C21">
      <w:pPr>
        <w:spacing w:after="0"/>
        <w:jc w:val="both"/>
        <w:rPr>
          <w:rFonts w:asciiTheme="majorHAnsi" w:hAnsiTheme="majorHAnsi" w:cstheme="majorHAnsi"/>
          <w:sz w:val="20"/>
          <w:lang w:val="pl-PL"/>
        </w:rPr>
      </w:pPr>
      <w:r w:rsidRPr="00E13FF4">
        <w:rPr>
          <w:rFonts w:asciiTheme="majorHAnsi" w:hAnsiTheme="majorHAnsi" w:cstheme="majorHAnsi"/>
          <w:sz w:val="20"/>
          <w:lang w:val="pl-PL"/>
        </w:rPr>
        <w:lastRenderedPageBreak/>
        <w:t>SLIDE 2</w:t>
      </w:r>
    </w:p>
    <w:p w14:paraId="637607F4" w14:textId="77777777" w:rsidR="008C4C21" w:rsidRPr="00E13FF4" w:rsidRDefault="008C4C21" w:rsidP="008C4C21">
      <w:pPr>
        <w:spacing w:after="0"/>
        <w:jc w:val="both"/>
        <w:rPr>
          <w:rFonts w:asciiTheme="majorHAnsi" w:hAnsiTheme="majorHAnsi" w:cstheme="majorHAnsi"/>
          <w:sz w:val="20"/>
          <w:lang w:val="pl-PL"/>
        </w:rPr>
      </w:pPr>
      <w:r w:rsidRPr="00E13FF4">
        <w:rPr>
          <w:rFonts w:asciiTheme="majorHAnsi" w:hAnsiTheme="majorHAnsi" w:cstheme="majorHAnsi"/>
          <w:sz w:val="20"/>
          <w:lang w:val="pl-PL"/>
        </w:rPr>
        <w:t>Requisiti economici per lo sviluppo sostenibile</w:t>
      </w:r>
    </w:p>
    <w:p w14:paraId="421C0D3B" w14:textId="77777777" w:rsidR="008C4C21" w:rsidRPr="00E13FF4" w:rsidRDefault="008C4C21" w:rsidP="008C4C21">
      <w:pPr>
        <w:spacing w:after="0"/>
        <w:jc w:val="both"/>
        <w:rPr>
          <w:rFonts w:asciiTheme="majorHAnsi" w:hAnsiTheme="majorHAnsi" w:cstheme="majorHAnsi"/>
          <w:sz w:val="20"/>
          <w:lang w:val="pl-PL"/>
        </w:rPr>
      </w:pPr>
    </w:p>
    <w:p w14:paraId="4934785C" w14:textId="77777777" w:rsidR="008C4C21" w:rsidRPr="00E13FF4" w:rsidRDefault="008C4C21" w:rsidP="008C4C21">
      <w:pPr>
        <w:spacing w:after="0"/>
        <w:jc w:val="both"/>
        <w:rPr>
          <w:rFonts w:asciiTheme="majorHAnsi" w:hAnsiTheme="majorHAnsi" w:cstheme="majorHAnsi"/>
          <w:sz w:val="20"/>
          <w:lang w:val="pl-PL"/>
        </w:rPr>
      </w:pPr>
      <w:r w:rsidRPr="00E13FF4">
        <w:rPr>
          <w:rFonts w:asciiTheme="majorHAnsi" w:hAnsiTheme="majorHAnsi" w:cstheme="majorHAnsi"/>
          <w:sz w:val="20"/>
          <w:lang w:val="pl-PL"/>
        </w:rPr>
        <w:t>1. Economia circolare: migliorare l'efficienza delle risorse e ridurre gli sprechi</w:t>
      </w:r>
    </w:p>
    <w:p w14:paraId="7CFA38C9" w14:textId="77777777" w:rsidR="008C4C21" w:rsidRPr="00E13FF4" w:rsidRDefault="008C4C21" w:rsidP="008C4C21">
      <w:pPr>
        <w:spacing w:after="0"/>
        <w:jc w:val="both"/>
        <w:rPr>
          <w:rFonts w:asciiTheme="majorHAnsi" w:hAnsiTheme="majorHAnsi" w:cstheme="majorHAnsi"/>
          <w:sz w:val="20"/>
          <w:lang w:val="pl-PL"/>
        </w:rPr>
      </w:pPr>
      <w:r w:rsidRPr="00E13FF4">
        <w:rPr>
          <w:rFonts w:asciiTheme="majorHAnsi" w:hAnsiTheme="majorHAnsi" w:cstheme="majorHAnsi"/>
          <w:sz w:val="20"/>
          <w:lang w:val="pl-PL"/>
        </w:rPr>
        <w:t>2. Acqua: migliorare l'accesso a un approvvigionamento idrico di alta qualità e la conservazione delle risorse</w:t>
      </w:r>
    </w:p>
    <w:p w14:paraId="26616F48" w14:textId="77777777" w:rsidR="008C4C21" w:rsidRPr="00E13FF4" w:rsidRDefault="008C4C21" w:rsidP="008C4C21">
      <w:pPr>
        <w:spacing w:after="0"/>
        <w:jc w:val="both"/>
        <w:rPr>
          <w:rFonts w:asciiTheme="majorHAnsi" w:hAnsiTheme="majorHAnsi" w:cstheme="majorHAnsi"/>
          <w:sz w:val="20"/>
          <w:lang w:val="pl-PL"/>
        </w:rPr>
      </w:pPr>
      <w:r w:rsidRPr="00E13FF4">
        <w:rPr>
          <w:rFonts w:asciiTheme="majorHAnsi" w:hAnsiTheme="majorHAnsi" w:cstheme="majorHAnsi"/>
          <w:sz w:val="20"/>
          <w:lang w:val="pl-PL"/>
        </w:rPr>
        <w:t>3. Sicurezza alimentare: garantire un approvvigionamento alimentare sostenibile e terreni agricoli produttivi per le generazioni future</w:t>
      </w:r>
    </w:p>
    <w:p w14:paraId="02F6E52B" w14:textId="77777777" w:rsidR="008C4C21" w:rsidRPr="00E13FF4" w:rsidRDefault="008C4C21" w:rsidP="008C4C21">
      <w:pPr>
        <w:spacing w:after="0"/>
        <w:jc w:val="both"/>
        <w:rPr>
          <w:rFonts w:asciiTheme="majorHAnsi" w:hAnsiTheme="majorHAnsi" w:cstheme="majorHAnsi"/>
          <w:sz w:val="20"/>
          <w:lang w:val="pl-PL"/>
        </w:rPr>
      </w:pPr>
      <w:r w:rsidRPr="00E13FF4">
        <w:rPr>
          <w:rFonts w:asciiTheme="majorHAnsi" w:hAnsiTheme="majorHAnsi" w:cstheme="majorHAnsi"/>
          <w:sz w:val="20"/>
          <w:lang w:val="pl-PL"/>
        </w:rPr>
        <w:t>4. Salute e benessere - Migliorare l'aspettativa di vita e la qualità</w:t>
      </w:r>
    </w:p>
    <w:p w14:paraId="54C24516" w14:textId="77777777" w:rsidR="008C4C21" w:rsidRPr="00E13FF4" w:rsidRDefault="008C4C21" w:rsidP="008C4C21">
      <w:pPr>
        <w:spacing w:after="0"/>
        <w:jc w:val="both"/>
        <w:rPr>
          <w:rFonts w:asciiTheme="majorHAnsi" w:hAnsiTheme="majorHAnsi" w:cstheme="majorHAnsi"/>
          <w:sz w:val="20"/>
          <w:lang w:val="pl-PL"/>
        </w:rPr>
      </w:pPr>
      <w:r w:rsidRPr="00E13FF4">
        <w:rPr>
          <w:rFonts w:asciiTheme="majorHAnsi" w:hAnsiTheme="majorHAnsi" w:cstheme="majorHAnsi"/>
          <w:sz w:val="20"/>
          <w:lang w:val="pl-PL"/>
        </w:rPr>
        <w:t>5. Istruzione: creare opportunità per tutti, indipendentemente dalla ricchezza, dalla geografia o dalle competenze</w:t>
      </w:r>
    </w:p>
    <w:p w14:paraId="3BE14C1D" w14:textId="77777777" w:rsidR="008C4C21" w:rsidRPr="00E13FF4" w:rsidRDefault="008C4C21" w:rsidP="008C4C21">
      <w:pPr>
        <w:spacing w:after="0"/>
        <w:jc w:val="both"/>
        <w:rPr>
          <w:rFonts w:asciiTheme="majorHAnsi" w:hAnsiTheme="majorHAnsi" w:cstheme="majorHAnsi"/>
          <w:sz w:val="20"/>
          <w:lang w:val="pl-PL"/>
        </w:rPr>
      </w:pPr>
      <w:r w:rsidRPr="00E13FF4">
        <w:rPr>
          <w:rFonts w:asciiTheme="majorHAnsi" w:hAnsiTheme="majorHAnsi" w:cstheme="majorHAnsi"/>
          <w:sz w:val="20"/>
          <w:lang w:val="pl-PL"/>
        </w:rPr>
        <w:t>6. Integrazione finanziaria - fornire servizi finanziari alla popolazione in difficoltà</w:t>
      </w:r>
    </w:p>
    <w:p w14:paraId="4D31CD53" w14:textId="77777777" w:rsidR="008C4C21" w:rsidRPr="00E13FF4" w:rsidRDefault="008C4C21" w:rsidP="008C4C21">
      <w:pPr>
        <w:spacing w:after="0"/>
        <w:jc w:val="both"/>
        <w:rPr>
          <w:rFonts w:asciiTheme="majorHAnsi" w:hAnsiTheme="majorHAnsi" w:cstheme="majorHAnsi"/>
          <w:sz w:val="20"/>
          <w:lang w:val="pl-PL"/>
        </w:rPr>
      </w:pPr>
      <w:r w:rsidRPr="00E13FF4">
        <w:rPr>
          <w:rFonts w:asciiTheme="majorHAnsi" w:hAnsiTheme="majorHAnsi" w:cstheme="majorHAnsi"/>
          <w:sz w:val="20"/>
          <w:lang w:val="pl-PL"/>
        </w:rPr>
        <w:t>7. Mobilità futura: migliorare l'efficienza dei veicoli per aumentare il trasporto a basse emissioni di carbonio</w:t>
      </w:r>
    </w:p>
    <w:p w14:paraId="0A9ECC5C" w14:textId="77777777" w:rsidR="008C4C21" w:rsidRPr="00E13FF4" w:rsidRDefault="008C4C21" w:rsidP="008C4C21">
      <w:pPr>
        <w:spacing w:after="0"/>
        <w:jc w:val="both"/>
        <w:rPr>
          <w:rFonts w:asciiTheme="majorHAnsi" w:hAnsiTheme="majorHAnsi" w:cstheme="majorHAnsi"/>
          <w:sz w:val="20"/>
          <w:lang w:val="pl-PL"/>
        </w:rPr>
      </w:pPr>
      <w:r w:rsidRPr="00E13FF4">
        <w:rPr>
          <w:rFonts w:asciiTheme="majorHAnsi" w:hAnsiTheme="majorHAnsi" w:cstheme="majorHAnsi"/>
          <w:sz w:val="20"/>
          <w:lang w:val="pl-PL"/>
        </w:rPr>
        <w:t>8. Mezzi per influenzare il cambiamento - Fornire soluzioni e servizi chiave alle aziende direttamente coinvolte in vari argomenti</w:t>
      </w:r>
    </w:p>
    <w:p w14:paraId="0912ABC9" w14:textId="77777777" w:rsidR="008C4C21" w:rsidRPr="00E13FF4" w:rsidRDefault="008C4C21" w:rsidP="008C4C21">
      <w:pPr>
        <w:spacing w:after="0"/>
        <w:jc w:val="both"/>
        <w:rPr>
          <w:rFonts w:asciiTheme="majorHAnsi" w:hAnsiTheme="majorHAnsi" w:cstheme="majorHAnsi"/>
          <w:sz w:val="20"/>
          <w:lang w:val="pl-PL"/>
        </w:rPr>
      </w:pPr>
      <w:r w:rsidRPr="00E13FF4">
        <w:rPr>
          <w:rFonts w:asciiTheme="majorHAnsi" w:hAnsiTheme="majorHAnsi" w:cstheme="majorHAnsi"/>
          <w:sz w:val="20"/>
          <w:lang w:val="pl-PL"/>
        </w:rPr>
        <w:t>9. Transizione energetica - Trasformare il sistema energetico per promuovere un'economia a basse emissioni di carbonio</w:t>
      </w:r>
    </w:p>
    <w:p w14:paraId="2C54E0A3" w14:textId="77777777" w:rsidR="008C4C21" w:rsidRPr="00E13FF4" w:rsidRDefault="008C4C21" w:rsidP="008C4C21">
      <w:pPr>
        <w:spacing w:after="0"/>
        <w:jc w:val="both"/>
        <w:rPr>
          <w:rFonts w:asciiTheme="majorHAnsi" w:hAnsiTheme="majorHAnsi" w:cstheme="majorHAnsi"/>
          <w:sz w:val="20"/>
          <w:lang w:val="pl-PL"/>
        </w:rPr>
      </w:pPr>
    </w:p>
    <w:p w14:paraId="4F3AA3E8" w14:textId="77777777" w:rsidR="005C7E5A" w:rsidRPr="00E13FF4" w:rsidRDefault="005C7E5A" w:rsidP="005C7E5A">
      <w:pPr>
        <w:spacing w:after="0"/>
        <w:jc w:val="both"/>
        <w:rPr>
          <w:rFonts w:asciiTheme="majorHAnsi" w:hAnsiTheme="majorHAnsi" w:cstheme="majorHAnsi"/>
          <w:sz w:val="20"/>
          <w:lang w:val="pl-PL"/>
        </w:rPr>
      </w:pPr>
      <w:r w:rsidRPr="00E13FF4">
        <w:rPr>
          <w:rFonts w:asciiTheme="majorHAnsi" w:hAnsiTheme="majorHAnsi" w:cstheme="majorHAnsi"/>
          <w:sz w:val="20"/>
          <w:lang w:val="pl-PL"/>
        </w:rPr>
        <w:t>SLIDE 3</w:t>
      </w:r>
    </w:p>
    <w:p w14:paraId="17AEDB31" w14:textId="77777777" w:rsidR="005C7E5A" w:rsidRPr="00E13FF4" w:rsidRDefault="005C7E5A" w:rsidP="005C7E5A">
      <w:pPr>
        <w:spacing w:after="0"/>
        <w:jc w:val="both"/>
        <w:rPr>
          <w:rFonts w:asciiTheme="majorHAnsi" w:hAnsiTheme="majorHAnsi" w:cstheme="majorHAnsi"/>
          <w:sz w:val="20"/>
          <w:lang w:val="pl-PL"/>
        </w:rPr>
      </w:pPr>
      <w:r w:rsidRPr="00E13FF4">
        <w:rPr>
          <w:rFonts w:asciiTheme="majorHAnsi" w:hAnsiTheme="majorHAnsi" w:cstheme="majorHAnsi"/>
          <w:sz w:val="20"/>
          <w:lang w:val="pl-PL"/>
        </w:rPr>
        <w:t>L'impatto delle attività di CSR sul valore dell'azienda</w:t>
      </w:r>
    </w:p>
    <w:p w14:paraId="2A1BAD76" w14:textId="77777777" w:rsidR="005C7E5A" w:rsidRPr="00E13FF4" w:rsidRDefault="005C7E5A" w:rsidP="005C7E5A">
      <w:pPr>
        <w:spacing w:after="0"/>
        <w:jc w:val="both"/>
        <w:rPr>
          <w:rFonts w:asciiTheme="majorHAnsi" w:hAnsiTheme="majorHAnsi" w:cstheme="majorHAnsi"/>
          <w:sz w:val="20"/>
          <w:lang w:val="pl-PL"/>
        </w:rPr>
      </w:pPr>
    </w:p>
    <w:p w14:paraId="02DA465D" w14:textId="77777777" w:rsidR="005C7E5A" w:rsidRPr="00E13FF4" w:rsidRDefault="005C7E5A" w:rsidP="005C7E5A">
      <w:pPr>
        <w:spacing w:after="0"/>
        <w:jc w:val="both"/>
        <w:rPr>
          <w:rFonts w:asciiTheme="majorHAnsi" w:hAnsiTheme="majorHAnsi" w:cstheme="majorHAnsi"/>
          <w:sz w:val="20"/>
          <w:lang w:val="pl-PL"/>
        </w:rPr>
      </w:pPr>
      <w:r w:rsidRPr="00E13FF4">
        <w:rPr>
          <w:rFonts w:asciiTheme="majorHAnsi" w:hAnsiTheme="majorHAnsi" w:cstheme="majorHAnsi"/>
          <w:sz w:val="20"/>
          <w:lang w:val="pl-PL"/>
        </w:rPr>
        <w:t>Negli anni si è discusso se le attività di CSR (Corporate Social Responsibility) siano uno spreco di denaro dell'azienda da un punto di vista economico o meno. Studi recenti (Barnett e Salomon, 2012) suggeriscono che entrambe le parti possono essere vere in una certa misura. Gli autori sostengono che se vale la pena essere buoni o meno dipende da quanto le aziende sono in grado di sfruttare i loro sforzi di responsabilità sociale.</w:t>
      </w:r>
    </w:p>
    <w:p w14:paraId="0AC9FDA2" w14:textId="77777777" w:rsidR="005C7E5A" w:rsidRPr="00E13FF4" w:rsidRDefault="005C7E5A" w:rsidP="005C7E5A">
      <w:pPr>
        <w:spacing w:after="0"/>
        <w:jc w:val="both"/>
        <w:rPr>
          <w:rFonts w:asciiTheme="majorHAnsi" w:hAnsiTheme="majorHAnsi" w:cstheme="majorHAnsi"/>
          <w:sz w:val="20"/>
          <w:lang w:val="pl-PL"/>
        </w:rPr>
      </w:pPr>
      <w:r w:rsidRPr="00E13FF4">
        <w:rPr>
          <w:rFonts w:asciiTheme="majorHAnsi" w:hAnsiTheme="majorHAnsi" w:cstheme="majorHAnsi"/>
          <w:sz w:val="20"/>
          <w:lang w:val="pl-PL"/>
        </w:rPr>
        <w:t>Nello studio, oltre 1.2mila società autori hanno scoperto che il punteggio netto complessivo di un'azienda sui 13 criteri di performance sociale nel database di rating Kinder, Lydenberg e Domini (KLD) aumenta, ma il suo ritorno sulle attività e il reddito netto inizialmente diminuiscono, basso a livelli moderati poi cresce.</w:t>
      </w:r>
    </w:p>
    <w:p w14:paraId="0213EAE7" w14:textId="77777777" w:rsidR="005C7E5A" w:rsidRPr="00E13FF4" w:rsidRDefault="005C7E5A" w:rsidP="005C7E5A">
      <w:pPr>
        <w:spacing w:after="0"/>
        <w:jc w:val="both"/>
        <w:rPr>
          <w:rFonts w:asciiTheme="majorHAnsi" w:hAnsiTheme="majorHAnsi" w:cstheme="majorHAnsi"/>
          <w:sz w:val="20"/>
          <w:lang w:val="pl-PL"/>
        </w:rPr>
      </w:pPr>
      <w:r w:rsidRPr="00E13FF4">
        <w:rPr>
          <w:rFonts w:asciiTheme="majorHAnsi" w:hAnsiTheme="majorHAnsi" w:cstheme="majorHAnsi"/>
          <w:sz w:val="20"/>
          <w:lang w:val="pl-PL"/>
        </w:rPr>
        <w:t>Questi risultati sono cruciali per le aziende in quanto dovrebbero considerare CSP (Corporate Social Performance) come un investimento a lungo termine per creare la capacità di influenzare gli stakeholder.</w:t>
      </w:r>
    </w:p>
    <w:p w14:paraId="5127491E" w14:textId="77777777" w:rsidR="005C7E5A" w:rsidRPr="00E13FF4" w:rsidRDefault="005C7E5A" w:rsidP="005C7E5A">
      <w:pPr>
        <w:spacing w:after="0"/>
        <w:jc w:val="both"/>
        <w:rPr>
          <w:rFonts w:asciiTheme="majorHAnsi" w:hAnsiTheme="majorHAnsi" w:cstheme="majorHAnsi"/>
          <w:sz w:val="20"/>
          <w:lang w:val="pl-PL"/>
        </w:rPr>
      </w:pPr>
    </w:p>
    <w:p w14:paraId="6B2CF119" w14:textId="77777777" w:rsidR="00672358" w:rsidRPr="00E13FF4" w:rsidRDefault="00672358">
      <w:pPr>
        <w:rPr>
          <w:rFonts w:asciiTheme="majorHAnsi" w:hAnsiTheme="majorHAnsi" w:cstheme="majorHAnsi"/>
          <w:lang w:val="pl-PL"/>
        </w:rPr>
      </w:pPr>
    </w:p>
    <w:p w14:paraId="362A36EE" w14:textId="77777777" w:rsidR="00672358" w:rsidRPr="00E13FF4" w:rsidRDefault="00672358">
      <w:pPr>
        <w:rPr>
          <w:rFonts w:asciiTheme="majorHAnsi" w:hAnsiTheme="majorHAnsi" w:cstheme="majorHAnsi"/>
          <w:lang w:val="pl-PL"/>
        </w:rPr>
      </w:pPr>
    </w:p>
    <w:p w14:paraId="0C8A2334" w14:textId="77777777" w:rsidR="00672358" w:rsidRPr="00E13FF4" w:rsidRDefault="00672358">
      <w:pPr>
        <w:rPr>
          <w:rFonts w:asciiTheme="majorHAnsi" w:hAnsiTheme="majorHAnsi" w:cstheme="majorHAnsi"/>
          <w:lang w:val="pl-PL"/>
        </w:rPr>
      </w:pPr>
    </w:p>
    <w:bookmarkEnd w:id="0"/>
    <w:p w14:paraId="2A753418" w14:textId="77777777" w:rsidR="00672358" w:rsidRPr="00E13FF4" w:rsidRDefault="00672358">
      <w:pPr>
        <w:rPr>
          <w:rFonts w:asciiTheme="majorHAnsi" w:hAnsiTheme="majorHAnsi" w:cstheme="majorHAnsi"/>
          <w:lang w:val="pl-PL"/>
        </w:rPr>
      </w:pPr>
    </w:p>
    <w:sectPr w:rsidR="00672358" w:rsidRPr="00E13FF4" w:rsidSect="00C230E1">
      <w:headerReference w:type="default" r:id="rId48"/>
      <w:footerReference w:type="default" r:id="rId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7C448" w14:textId="77777777" w:rsidR="0026295C" w:rsidRDefault="0026295C" w:rsidP="00D322B8">
      <w:pPr>
        <w:spacing w:after="0" w:line="240" w:lineRule="auto"/>
      </w:pPr>
      <w:r>
        <w:separator/>
      </w:r>
    </w:p>
  </w:endnote>
  <w:endnote w:type="continuationSeparator" w:id="0">
    <w:p w14:paraId="76F2A407" w14:textId="77777777" w:rsidR="0026295C" w:rsidRDefault="0026295C" w:rsidP="00D32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B7AF" w14:textId="77777777" w:rsidR="00E13FF4" w:rsidRPr="0004573A" w:rsidRDefault="00E13FF4" w:rsidP="00E13FF4">
    <w:pPr>
      <w:pStyle w:val="Stopka"/>
      <w:pBdr>
        <w:top w:val="single" w:sz="4" w:space="1" w:color="auto"/>
      </w:pBdr>
      <w:jc w:val="both"/>
      <w:rPr>
        <w:rFonts w:ascii="Calibri Light" w:hAnsi="Calibri Light" w:cs="Calibri Light"/>
        <w:spacing w:val="-2"/>
        <w:sz w:val="2"/>
        <w:szCs w:val="2"/>
      </w:rPr>
    </w:pPr>
    <w:bookmarkStart w:id="16" w:name="_Hlk72502989"/>
    <w:bookmarkStart w:id="17" w:name="_Hlk72502990"/>
    <w:bookmarkStart w:id="18" w:name="_Hlk72503056"/>
    <w:bookmarkStart w:id="19" w:name="_Hlk72503057"/>
    <w:bookmarkStart w:id="20" w:name="_Hlk72503166"/>
    <w:bookmarkStart w:id="21" w:name="_Hlk72503167"/>
    <w:bookmarkStart w:id="22" w:name="_Hlk72503193"/>
    <w:bookmarkStart w:id="23" w:name="_Hlk72503194"/>
    <w:bookmarkStart w:id="24" w:name="_Hlk72503359"/>
    <w:bookmarkStart w:id="25" w:name="_Hlk72503360"/>
    <w:bookmarkStart w:id="26" w:name="_Hlk72503361"/>
    <w:bookmarkStart w:id="27" w:name="_Hlk72503362"/>
    <w:bookmarkStart w:id="28" w:name="_Hlk72503971"/>
    <w:bookmarkStart w:id="29" w:name="_Hlk72503972"/>
    <w:r w:rsidRPr="00E93D03">
      <w:rPr>
        <w:rFonts w:ascii="Calibri Light" w:hAnsi="Calibri Light" w:cs="Calibri Light"/>
        <w:spacing w:val="-2"/>
        <w:sz w:val="18"/>
        <w:szCs w:val="20"/>
        <w:lang w:val="en-US"/>
      </w:rPr>
      <w:t>This project has been funded with support from the European Commission. This publication reflects the views only of the author, and the Commission cannot be held responsible for any use which may be made of the information contained therein.</w:t>
    </w:r>
    <w:r w:rsidRPr="00E93D03">
      <w:rPr>
        <w:rFonts w:ascii="Calibri Light" w:hAnsi="Calibri Light" w:cs="Calibri Light"/>
        <w:noProof/>
        <w:spacing w:val="-2"/>
        <w:sz w:val="18"/>
        <w:szCs w:val="20"/>
        <w:lang w:eastAsia="pl-PL"/>
      </w:rPr>
      <w:drawing>
        <wp:anchor distT="0" distB="0" distL="114300" distR="114300" simplePos="0" relativeHeight="251664384" behindDoc="0" locked="0" layoutInCell="1" allowOverlap="1" wp14:anchorId="05A3AC9D" wp14:editId="7321B635">
          <wp:simplePos x="0" y="0"/>
          <wp:positionH relativeFrom="column">
            <wp:posOffset>2077720</wp:posOffset>
          </wp:positionH>
          <wp:positionV relativeFrom="paragraph">
            <wp:posOffset>9784715</wp:posOffset>
          </wp:positionV>
          <wp:extent cx="596900" cy="388620"/>
          <wp:effectExtent l="0" t="0" r="0" b="0"/>
          <wp:wrapNone/>
          <wp:docPr id="10" name="Obraz 10"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3360" behindDoc="0" locked="0" layoutInCell="1" allowOverlap="1" wp14:anchorId="6F5811C7" wp14:editId="20AEE952">
          <wp:simplePos x="0" y="0"/>
          <wp:positionH relativeFrom="column">
            <wp:posOffset>2077720</wp:posOffset>
          </wp:positionH>
          <wp:positionV relativeFrom="paragraph">
            <wp:posOffset>9784715</wp:posOffset>
          </wp:positionV>
          <wp:extent cx="596900" cy="388620"/>
          <wp:effectExtent l="0" t="0" r="0" b="0"/>
          <wp:wrapNone/>
          <wp:docPr id="8" name="Obraz 8"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03">
      <w:rPr>
        <w:rFonts w:ascii="Calibri Light" w:hAnsi="Calibri Light" w:cs="Calibri Light"/>
        <w:noProof/>
        <w:spacing w:val="-2"/>
        <w:sz w:val="18"/>
        <w:szCs w:val="20"/>
        <w:lang w:eastAsia="pl-PL"/>
      </w:rPr>
      <w:drawing>
        <wp:anchor distT="0" distB="0" distL="114300" distR="114300" simplePos="0" relativeHeight="251662336" behindDoc="0" locked="0" layoutInCell="1" allowOverlap="1" wp14:anchorId="7139A329" wp14:editId="4B355AD3">
          <wp:simplePos x="0" y="0"/>
          <wp:positionH relativeFrom="column">
            <wp:posOffset>2077720</wp:posOffset>
          </wp:positionH>
          <wp:positionV relativeFrom="paragraph">
            <wp:posOffset>9784715</wp:posOffset>
          </wp:positionV>
          <wp:extent cx="596900" cy="388620"/>
          <wp:effectExtent l="0" t="0" r="0" b="0"/>
          <wp:wrapNone/>
          <wp:docPr id="11" name="Obraz 11" descr="https://eacea.ec.europa.eu/sites/eacea-site/files/eu_flag-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https://eacea.ec.europa.eu/sites/eacea-site/files/eu_flag-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3886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Light" w:hAnsi="Calibri Light" w:cs="Calibri Light"/>
        <w:spacing w:val="-2"/>
        <w:sz w:val="18"/>
        <w:szCs w:val="20"/>
        <w:lang w:val="en-US"/>
      </w:rPr>
      <w:br/>
    </w:r>
    <w:bookmarkEnd w:id="16"/>
    <w:bookmarkEnd w:id="17"/>
    <w:bookmarkEnd w:id="18"/>
    <w:bookmarkEnd w:id="19"/>
    <w:bookmarkEnd w:id="20"/>
    <w:bookmarkEnd w:id="21"/>
    <w:bookmarkEnd w:id="22"/>
    <w:bookmarkEnd w:id="23"/>
    <w:bookmarkEnd w:id="24"/>
    <w:bookmarkEnd w:id="25"/>
    <w:bookmarkEnd w:id="26"/>
    <w:bookmarkEnd w:id="27"/>
    <w:bookmarkEnd w:id="28"/>
    <w:bookmarkEnd w:id="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92A9E" w14:textId="77777777" w:rsidR="0026295C" w:rsidRDefault="0026295C" w:rsidP="00D322B8">
      <w:pPr>
        <w:spacing w:after="0" w:line="240" w:lineRule="auto"/>
      </w:pPr>
      <w:r>
        <w:separator/>
      </w:r>
    </w:p>
  </w:footnote>
  <w:footnote w:type="continuationSeparator" w:id="0">
    <w:p w14:paraId="7CBB1C1B" w14:textId="77777777" w:rsidR="0026295C" w:rsidRDefault="0026295C" w:rsidP="00D322B8">
      <w:pPr>
        <w:spacing w:after="0" w:line="240" w:lineRule="auto"/>
      </w:pPr>
      <w:r>
        <w:continuationSeparator/>
      </w:r>
    </w:p>
  </w:footnote>
  <w:footnote w:id="1">
    <w:p w14:paraId="344EB09B" w14:textId="77777777" w:rsidR="00C04088" w:rsidRPr="007E0A9F" w:rsidRDefault="00C04088" w:rsidP="00C04088">
      <w:pPr>
        <w:pStyle w:val="Tekstprzypisudolnego"/>
        <w:rPr>
          <w:lang w:val="en-US"/>
        </w:rPr>
      </w:pPr>
      <w:r>
        <w:rPr>
          <w:rStyle w:val="Odwoanieprzypisudolnego"/>
        </w:rPr>
        <w:footnoteRef/>
      </w:r>
      <w:r>
        <w:t xml:space="preserve"> F. Carrasco (2011) Introduzione all'energia idroelettrica, The English Press, p. 4-7</w:t>
      </w:r>
    </w:p>
  </w:footnote>
  <w:footnote w:id="2">
    <w:p w14:paraId="49D9FD8E" w14:textId="77777777" w:rsidR="00C04088" w:rsidRPr="00F8481E" w:rsidRDefault="00C04088" w:rsidP="00C04088">
      <w:pPr>
        <w:pStyle w:val="Tekstprzypisudolnego"/>
        <w:rPr>
          <w:lang w:val="en-US"/>
        </w:rPr>
      </w:pPr>
      <w:r>
        <w:rPr>
          <w:rStyle w:val="Odwoanieprzypisudolnego"/>
        </w:rPr>
        <w:footnoteRef/>
      </w:r>
      <w:r>
        <w:t xml:space="preserve"> Ibid</w:t>
      </w:r>
    </w:p>
  </w:footnote>
  <w:footnote w:id="3">
    <w:p w14:paraId="4AE102DB" w14:textId="77777777" w:rsidR="00F527DA" w:rsidRPr="003A28AD" w:rsidRDefault="00F527DA" w:rsidP="00F527DA">
      <w:pPr>
        <w:pStyle w:val="Tekstprzypisudolnego"/>
        <w:rPr>
          <w:lang w:val="en-US"/>
        </w:rPr>
      </w:pPr>
      <w:r>
        <w:rPr>
          <w:rStyle w:val="Odwoanieprzypisudolnego"/>
        </w:rPr>
        <w:footnoteRef/>
      </w:r>
      <w:r>
        <w:t xml:space="preserve"> </w:t>
      </w:r>
      <w:hyperlink r:id="rId1" w:history="1">
        <w:r>
          <w:rPr>
            <w:rStyle w:val="Hipercze"/>
          </w:rPr>
          <w:t>https://www.energy.gov/science-innovation/energy-sources/renewable-energy/solar</w:t>
        </w:r>
      </w:hyperlink>
      <w:r>
        <w:t xml:space="preserve"> (04/11/2019)</w:t>
      </w:r>
    </w:p>
  </w:footnote>
  <w:footnote w:id="4">
    <w:p w14:paraId="35377655" w14:textId="77777777" w:rsidR="00F527DA" w:rsidRPr="003A28AD" w:rsidRDefault="00F527DA" w:rsidP="00F527DA">
      <w:pPr>
        <w:pStyle w:val="Tekstprzypisudolnego"/>
        <w:rPr>
          <w:lang w:val="en-US"/>
        </w:rPr>
      </w:pPr>
      <w:r>
        <w:rPr>
          <w:rStyle w:val="Odwoanieprzypisudolnego"/>
        </w:rPr>
        <w:footnoteRef/>
      </w:r>
      <w:r>
        <w:t xml:space="preserve"> </w:t>
      </w:r>
      <w:hyperlink r:id="rId2" w:history="1">
        <w:r>
          <w:rPr>
            <w:rStyle w:val="Hipercze"/>
          </w:rPr>
          <w:t>https://www.irena.org/solar</w:t>
        </w:r>
      </w:hyperlink>
      <w:r>
        <w:t xml:space="preserve"> (04/11/2019)</w:t>
      </w:r>
    </w:p>
  </w:footnote>
  <w:footnote w:id="5">
    <w:p w14:paraId="2BC36E80" w14:textId="77777777" w:rsidR="00DA1736" w:rsidRPr="00FA5E0B" w:rsidRDefault="00DA1736" w:rsidP="00DA1736">
      <w:pPr>
        <w:pStyle w:val="Tekstprzypisudolnego"/>
        <w:rPr>
          <w:lang w:val="en-US"/>
        </w:rPr>
      </w:pPr>
      <w:r>
        <w:rPr>
          <w:rStyle w:val="Odwoanieprzypisudolnego"/>
        </w:rPr>
        <w:footnoteRef/>
      </w:r>
      <w:r>
        <w:t xml:space="preserve"> </w:t>
      </w:r>
      <w:hyperlink r:id="rId3" w:history="1">
        <w:r>
          <w:rPr>
            <w:rStyle w:val="Hipercze"/>
          </w:rPr>
          <w:t>https://www.irena.org/en/bioenergy</w:t>
        </w:r>
      </w:hyperlink>
      <w:r>
        <w:t xml:space="preserve"> (04/11/2019)</w:t>
      </w:r>
    </w:p>
  </w:footnote>
  <w:footnote w:id="6">
    <w:p w14:paraId="0372F341" w14:textId="77777777" w:rsidR="00DA1736" w:rsidRPr="002034F6" w:rsidRDefault="00DA1736" w:rsidP="00DA1736">
      <w:pPr>
        <w:pStyle w:val="Tekstprzypisudolnego"/>
        <w:rPr>
          <w:lang w:val="en-US"/>
        </w:rPr>
      </w:pPr>
      <w:r>
        <w:rPr>
          <w:rStyle w:val="Odwoanieprzypisudolnego"/>
        </w:rPr>
        <w:footnoteRef/>
      </w:r>
      <w:r>
        <w:t xml:space="preserve"> </w:t>
      </w:r>
      <w:hyperlink r:id="rId4" w:history="1">
        <w:r>
          <w:rPr>
            <w:rStyle w:val="Hipercze"/>
          </w:rPr>
          <w:t>https://www.thebalance.com/what-is-bioenergy-2941107</w:t>
        </w:r>
      </w:hyperlink>
      <w:r>
        <w:t xml:space="preserve"> (04/11/2019)</w:t>
      </w:r>
    </w:p>
  </w:footnote>
  <w:footnote w:id="7">
    <w:p w14:paraId="6BEAB46A" w14:textId="77777777" w:rsidR="00DA1736" w:rsidRPr="00695B26" w:rsidRDefault="00DA1736" w:rsidP="00DA1736">
      <w:pPr>
        <w:pStyle w:val="Tekstprzypisudolnego"/>
      </w:pPr>
      <w:r>
        <w:rPr>
          <w:rStyle w:val="Odwoanieprzypisudolnego"/>
        </w:rPr>
        <w:footnoteRef/>
      </w:r>
      <w:r>
        <w:t xml:space="preserve"> </w:t>
      </w:r>
      <w:hyperlink r:id="rId5" w:history="1">
        <w:r>
          <w:rPr>
            <w:rStyle w:val="Hipercze"/>
          </w:rPr>
          <w:t>https://www.energy.gov/eere/geothermal/geothermal-basics</w:t>
        </w:r>
      </w:hyperlink>
      <w:r>
        <w:t xml:space="preserve"> (05/11/2019)</w:t>
      </w:r>
    </w:p>
  </w:footnote>
  <w:footnote w:id="8">
    <w:p w14:paraId="2618425E" w14:textId="77777777" w:rsidR="00C936A4" w:rsidRPr="0034697C" w:rsidRDefault="00C936A4" w:rsidP="00C936A4">
      <w:pPr>
        <w:pStyle w:val="Tekstprzypisudolnego"/>
        <w:rPr>
          <w:lang w:val="en-US"/>
        </w:rPr>
      </w:pPr>
      <w:r>
        <w:rPr>
          <w:rStyle w:val="Odwoanieprzypisudolnego"/>
        </w:rPr>
        <w:footnoteRef/>
      </w:r>
      <w:r>
        <w:t xml:space="preserve"> Ibid</w:t>
      </w:r>
    </w:p>
  </w:footnote>
  <w:footnote w:id="9">
    <w:p w14:paraId="0BB6CD5E" w14:textId="77777777" w:rsidR="0019702E" w:rsidRPr="00CB3F55" w:rsidRDefault="0019702E" w:rsidP="0019702E">
      <w:pPr>
        <w:pStyle w:val="Tekstprzypisudolnego"/>
        <w:rPr>
          <w:lang w:val="en-US"/>
        </w:rPr>
      </w:pPr>
      <w:r>
        <w:rPr>
          <w:rStyle w:val="Odwoanieprzypisudolnego"/>
        </w:rPr>
        <w:footnoteRef/>
      </w:r>
      <w:r w:rsidRPr="00CB3F55">
        <w:rPr>
          <w:lang w:val="en-US"/>
        </w:rPr>
        <w:t>R. Geyer, JRJambeck, KLLaw (2017), Produzione, utilizzo e destino di tutte le materie plastiche mai realizzate. I progressi della scienza</w:t>
      </w:r>
    </w:p>
  </w:footnote>
  <w:footnote w:id="10">
    <w:p w14:paraId="7EF151FB" w14:textId="77777777" w:rsidR="002E2CA6" w:rsidRPr="00A30288" w:rsidRDefault="002E2CA6" w:rsidP="002E2CA6">
      <w:pPr>
        <w:pStyle w:val="Tekstprzypisudolnego"/>
        <w:rPr>
          <w:lang w:val="en-US"/>
        </w:rPr>
      </w:pPr>
      <w:r>
        <w:rPr>
          <w:rStyle w:val="Odwoanieprzypisudolnego"/>
        </w:rPr>
        <w:footnoteRef/>
      </w:r>
      <w:r>
        <w:t xml:space="preserve"> </w:t>
      </w:r>
      <w:hyperlink r:id="rId6" w:history="1">
        <w:r>
          <w:rPr>
            <w:rStyle w:val="Hipercze"/>
          </w:rPr>
          <w:t>https://cosmosmagazine.com/society/global-plastic-waste-totals-4-9-billion-tonnes</w:t>
        </w:r>
      </w:hyperlink>
      <w:r>
        <w:t xml:space="preserve"> (05/11/2019)</w:t>
      </w:r>
    </w:p>
  </w:footnote>
  <w:footnote w:id="11">
    <w:p w14:paraId="0AE30B4A" w14:textId="77777777" w:rsidR="00B54814" w:rsidRPr="0027750E" w:rsidRDefault="00B54814" w:rsidP="00B54814">
      <w:pPr>
        <w:pStyle w:val="Tekstprzypisudolnego"/>
      </w:pPr>
      <w:r>
        <w:rPr>
          <w:rStyle w:val="Odwoanieprzypisudolnego"/>
        </w:rPr>
        <w:footnoteRef/>
      </w:r>
      <w:r>
        <w:t xml:space="preserve"> </w:t>
      </w:r>
      <w:hyperlink r:id="rId7" w:history="1">
        <w:r>
          <w:rPr>
            <w:rStyle w:val="Hipercze"/>
          </w:rPr>
          <w:t>https://www.morganstanley.com/ideas/the-worlds-water-crisis-and-industries-at-risk</w:t>
        </w:r>
      </w:hyperlink>
      <w:r>
        <w:t xml:space="preserve"> (05/11/2019)</w:t>
      </w:r>
    </w:p>
  </w:footnote>
  <w:footnote w:id="12">
    <w:p w14:paraId="4334C829" w14:textId="77777777" w:rsidR="00B54814" w:rsidRPr="0027750E" w:rsidRDefault="00B54814" w:rsidP="00B54814">
      <w:pPr>
        <w:pStyle w:val="Tekstprzypisudolnego"/>
        <w:rPr>
          <w:lang w:val="en-US"/>
        </w:rPr>
      </w:pPr>
      <w:r>
        <w:rPr>
          <w:rStyle w:val="Odwoanieprzypisudolnego"/>
        </w:rPr>
        <w:footnoteRef/>
      </w:r>
      <w:r>
        <w:t xml:space="preserve"> </w:t>
      </w:r>
      <w:hyperlink r:id="rId8" w:history="1">
        <w:r>
          <w:rPr>
            <w:rStyle w:val="Hipercze"/>
          </w:rPr>
          <w:t>https://www.unwater.org/water-facts/water-food-and-energy/</w:t>
        </w:r>
      </w:hyperlink>
      <w:r>
        <w:t xml:space="preserve"> (05/11/2019)</w:t>
      </w:r>
    </w:p>
  </w:footnote>
  <w:footnote w:id="13">
    <w:p w14:paraId="5AEFA229" w14:textId="77777777" w:rsidR="002E3D86" w:rsidRPr="004E4996" w:rsidRDefault="002E3D86" w:rsidP="002E3D86">
      <w:pPr>
        <w:pStyle w:val="Tekstprzypisudolnego"/>
        <w:rPr>
          <w:lang w:val="en-US"/>
        </w:rPr>
      </w:pPr>
      <w:r>
        <w:rPr>
          <w:rStyle w:val="Odwoanieprzypisudolnego"/>
        </w:rPr>
        <w:footnoteRef/>
      </w:r>
      <w:r>
        <w:t xml:space="preserve"> </w:t>
      </w:r>
      <w:hyperlink r:id="rId9" w:history="1">
        <w:r>
          <w:rPr>
            <w:rStyle w:val="Hipercze"/>
          </w:rPr>
          <w:t>http://definedelectric.com/efficient-energy-use/</w:t>
        </w:r>
      </w:hyperlink>
      <w:r>
        <w:t xml:space="preserve"> (05/11/2019)</w:t>
      </w:r>
    </w:p>
  </w:footnote>
  <w:footnote w:id="14">
    <w:p w14:paraId="362CF3DC" w14:textId="77777777" w:rsidR="002E3D86" w:rsidRPr="004E4996" w:rsidRDefault="002E3D86" w:rsidP="002E3D86">
      <w:pPr>
        <w:pStyle w:val="Tekstprzypisudolnego"/>
      </w:pPr>
      <w:r>
        <w:rPr>
          <w:rStyle w:val="Odwoanieprzypisudolnego"/>
        </w:rPr>
        <w:footnoteRef/>
      </w:r>
      <w:r>
        <w:t xml:space="preserve"> </w:t>
      </w:r>
      <w:hyperlink r:id="rId10" w:history="1">
        <w:r>
          <w:rPr>
            <w:rStyle w:val="Hipercze"/>
          </w:rPr>
          <w:t>https://en.wikipedia.org/wiki/Efficient_energy_use</w:t>
        </w:r>
      </w:hyperlink>
      <w:r>
        <w:t xml:space="preserve"> (05/11/2019)</w:t>
      </w:r>
    </w:p>
  </w:footnote>
  <w:footnote w:id="15">
    <w:p w14:paraId="75940726" w14:textId="77777777" w:rsidR="00383812" w:rsidRPr="00515EB9" w:rsidRDefault="00383812" w:rsidP="00383812">
      <w:pPr>
        <w:pStyle w:val="Tekstprzypisudolnego"/>
        <w:rPr>
          <w:lang w:val="en-US"/>
        </w:rPr>
      </w:pPr>
      <w:r>
        <w:rPr>
          <w:rStyle w:val="Odwoanieprzypisudolnego"/>
        </w:rPr>
        <w:footnoteRef/>
      </w:r>
      <w:r w:rsidRPr="00515EB9">
        <w:rPr>
          <w:lang w:val="en-US"/>
        </w:rPr>
        <w:t xml:space="preserve"> Istituto internazionale per lo sviluppo sostenibile </w:t>
      </w:r>
    </w:p>
  </w:footnote>
  <w:footnote w:id="16">
    <w:p w14:paraId="4AE340E7" w14:textId="77777777" w:rsidR="006823D6" w:rsidRPr="00296FEA" w:rsidRDefault="006823D6" w:rsidP="006823D6">
      <w:pPr>
        <w:pStyle w:val="Tekstprzypisudolnego"/>
      </w:pPr>
      <w:r>
        <w:rPr>
          <w:rStyle w:val="Odwoanieprzypisudolnego"/>
        </w:rPr>
        <w:footnoteRef/>
      </w:r>
      <w:r>
        <w:t xml:space="preserve"> </w:t>
      </w:r>
      <w:hyperlink r:id="rId11" w:history="1">
        <w:r w:rsidRPr="00296FEA">
          <w:rPr>
            <w:rStyle w:val="Hipercze"/>
          </w:rPr>
          <w:t>https://www.stern.nyu.edu/experience-stern/about/departments-centers-initiatives/centers-of-research/center-sustainable-business/research/csb-monetization-methodology</w:t>
        </w:r>
      </w:hyperlink>
      <w:r w:rsidRPr="00296FEA">
        <w:rPr>
          <w:rStyle w:val="Hipercze"/>
        </w:rPr>
        <w:t xml:space="preserve"> </w:t>
      </w:r>
      <w:r w:rsidRPr="00296FEA">
        <w:t>(05/11/2019)</w:t>
      </w:r>
    </w:p>
  </w:footnote>
  <w:footnote w:id="17">
    <w:p w14:paraId="0B3DC0C0" w14:textId="77777777" w:rsidR="008C4C21" w:rsidRPr="00515EB9" w:rsidRDefault="008C4C21" w:rsidP="008C4C21">
      <w:pPr>
        <w:pStyle w:val="Tekstprzypisudolnego"/>
        <w:rPr>
          <w:lang w:val="en-US"/>
        </w:rPr>
      </w:pPr>
      <w:r>
        <w:rPr>
          <w:rStyle w:val="Odwoanieprzypisudolnego"/>
        </w:rPr>
        <w:footnoteRef/>
      </w:r>
      <w:r w:rsidRPr="00515EB9">
        <w:rPr>
          <w:lang w:val="en-US"/>
        </w:rPr>
        <w:t xml:space="preserve"> </w:t>
      </w:r>
      <w:hyperlink r:id="rId12" w:history="1">
        <w:r w:rsidRPr="00515EB9">
          <w:rPr>
            <w:rStyle w:val="Hipercze"/>
            <w:lang w:val="en-US"/>
          </w:rPr>
          <w:t>https://www.morganstanley.com/ideas/sustainable-investing-growing-interest-and-adoption</w:t>
        </w:r>
      </w:hyperlink>
      <w:r w:rsidRPr="00515EB9">
        <w:rPr>
          <w:lang w:val="en-US"/>
        </w:rPr>
        <w:t xml:space="preserve"> (05/11/2019)</w:t>
      </w:r>
    </w:p>
  </w:footnote>
  <w:footnote w:id="18">
    <w:p w14:paraId="5B184FA1" w14:textId="77777777" w:rsidR="008C4C21" w:rsidRPr="0034697C" w:rsidRDefault="008C4C21" w:rsidP="008C4C21">
      <w:pPr>
        <w:pStyle w:val="Tekstprzypisudolnego"/>
        <w:rPr>
          <w:lang w:val="en-US"/>
        </w:rPr>
      </w:pPr>
      <w:r>
        <w:rPr>
          <w:rStyle w:val="Odwoanieprzypisudolnego"/>
        </w:rPr>
        <w:footnoteRef/>
      </w:r>
      <w:r w:rsidRPr="0034697C">
        <w:rPr>
          <w:lang w:val="en-US"/>
        </w:rPr>
        <w:t xml:space="preserve"> </w:t>
      </w:r>
      <w:hyperlink r:id="rId13" w:history="1">
        <w:r w:rsidRPr="0034697C">
          <w:rPr>
            <w:rStyle w:val="Hipercze"/>
            <w:lang w:val="en-US"/>
          </w:rPr>
          <w:t>https://hbr.org/2019/07/the-elusive-green-consumer</w:t>
        </w:r>
      </w:hyperlink>
      <w:r w:rsidRPr="0034697C">
        <w:rPr>
          <w:lang w:val="en-US"/>
        </w:rPr>
        <w:t xml:space="preserve"> (05/11/2019)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F6290" w14:textId="77777777" w:rsidR="00E13FF4" w:rsidRPr="00C435F0" w:rsidRDefault="00E13FF4" w:rsidP="00E13FF4">
    <w:pPr>
      <w:pStyle w:val="Nagwek"/>
      <w:tabs>
        <w:tab w:val="clear" w:pos="4536"/>
        <w:tab w:val="clear" w:pos="9072"/>
      </w:tabs>
      <w:rPr>
        <w:rFonts w:cstheme="minorHAnsi"/>
      </w:rPr>
    </w:pPr>
    <w:bookmarkStart w:id="1" w:name="_Hlk72503207"/>
    <w:bookmarkStart w:id="2" w:name="_Hlk72502950"/>
    <w:bookmarkStart w:id="3" w:name="_Hlk72502951"/>
    <w:bookmarkStart w:id="4" w:name="_Hlk72503214"/>
    <w:bookmarkStart w:id="5" w:name="_Hlk72503215"/>
    <w:bookmarkStart w:id="6" w:name="_Hlk72503284"/>
    <w:bookmarkStart w:id="7" w:name="_Hlk72503285"/>
    <w:bookmarkStart w:id="8" w:name="_Hlk72503305"/>
    <w:bookmarkStart w:id="9" w:name="_Hlk72503306"/>
    <w:bookmarkStart w:id="10" w:name="_Hlk72503309"/>
    <w:bookmarkStart w:id="11" w:name="_Hlk72503310"/>
    <w:bookmarkStart w:id="12" w:name="_Hlk72503373"/>
    <w:bookmarkStart w:id="13" w:name="_Hlk72503374"/>
    <w:bookmarkStart w:id="14" w:name="_Hlk72503932"/>
    <w:bookmarkStart w:id="15" w:name="_Hlk72503933"/>
    <w:r>
      <w:rPr>
        <w:noProof/>
        <w:lang w:eastAsia="pl-PL"/>
      </w:rPr>
      <w:drawing>
        <wp:anchor distT="0" distB="0" distL="114300" distR="114300" simplePos="0" relativeHeight="251660288" behindDoc="0" locked="1" layoutInCell="1" allowOverlap="1" wp14:anchorId="0D1E61D0" wp14:editId="619B2C5F">
          <wp:simplePos x="0" y="0"/>
          <wp:positionH relativeFrom="margin">
            <wp:posOffset>5151120</wp:posOffset>
          </wp:positionH>
          <wp:positionV relativeFrom="margin">
            <wp:posOffset>-756285</wp:posOffset>
          </wp:positionV>
          <wp:extent cx="608400" cy="399600"/>
          <wp:effectExtent l="0" t="0" r="1270" b="635"/>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400" cy="3996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l-PL"/>
      </w:rPr>
      <mc:AlternateContent>
        <mc:Choice Requires="wps">
          <w:drawing>
            <wp:anchor distT="0" distB="0" distL="114300" distR="114300" simplePos="0" relativeHeight="251659264" behindDoc="0" locked="0" layoutInCell="1" allowOverlap="1" wp14:anchorId="1902211D" wp14:editId="01BD1EE5">
              <wp:simplePos x="0" y="0"/>
              <wp:positionH relativeFrom="column">
                <wp:posOffset>2727889</wp:posOffset>
              </wp:positionH>
              <wp:positionV relativeFrom="paragraph">
                <wp:posOffset>218165</wp:posOffset>
              </wp:positionV>
              <wp:extent cx="2547607" cy="224933"/>
              <wp:effectExtent l="0" t="0" r="0" b="3810"/>
              <wp:wrapNone/>
              <wp:docPr id="3" name="Pole tekstowe 3"/>
              <wp:cNvGraphicFramePr/>
              <a:graphic xmlns:a="http://schemas.openxmlformats.org/drawingml/2006/main">
                <a:graphicData uri="http://schemas.microsoft.com/office/word/2010/wordprocessingShape">
                  <wps:wsp>
                    <wps:cNvSpPr txBox="1"/>
                    <wps:spPr>
                      <a:xfrm>
                        <a:off x="0" y="0"/>
                        <a:ext cx="2547607" cy="224933"/>
                      </a:xfrm>
                      <a:prstGeom prst="rect">
                        <a:avLst/>
                      </a:prstGeom>
                      <a:noFill/>
                      <a:ln w="6350">
                        <a:noFill/>
                      </a:ln>
                    </wps:spPr>
                    <wps:txbx>
                      <w:txbxContent>
                        <w:p w14:paraId="564FC99B" w14:textId="77777777" w:rsidR="00E13FF4" w:rsidRDefault="00E13FF4" w:rsidP="00E13FF4">
                          <w:r w:rsidRPr="00C435F0">
                            <w:rPr>
                              <w:rFonts w:cstheme="minorHAnsi"/>
                              <w:sz w:val="18"/>
                              <w:szCs w:val="18"/>
                            </w:rPr>
                            <w:t>Projekt współfinansowany z programu Erasmus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02211D" id="_x0000_t202" coordsize="21600,21600" o:spt="202" path="m,l,21600r21600,l21600,xe">
              <v:stroke joinstyle="miter"/>
              <v:path gradientshapeok="t" o:connecttype="rect"/>
            </v:shapetype>
            <v:shape id="Pole tekstowe 3" o:spid="_x0000_s1041" type="#_x0000_t202" style="position:absolute;margin-left:214.8pt;margin-top:17.2pt;width:200.6pt;height:1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" filled="f" stroked="f" strokeweight=".5pt">
              <v:textbox>
                <w:txbxContent>
                  <w:p w14:paraId="564FC99B" w14:textId="77777777" w:rsidR="00E13FF4" w:rsidRDefault="00E13FF4" w:rsidP="00E13FF4">
                    <w:r w:rsidRPr="00C435F0">
                      <w:rPr>
                        <w:rFonts w:cstheme="minorHAnsi"/>
                        <w:sz w:val="18"/>
                        <w:szCs w:val="18"/>
                      </w:rPr>
                      <w:t>Projekt współfinansowany z programu Erasmus +</w:t>
                    </w:r>
                  </w:p>
                </w:txbxContent>
              </v:textbox>
            </v:shape>
          </w:pict>
        </mc:Fallback>
      </mc:AlternateContent>
    </w:r>
    <w:r>
      <w:rPr>
        <w:noProof/>
        <w:lang w:eastAsia="pl-PL"/>
      </w:rPr>
      <w:drawing>
        <wp:inline distT="0" distB="0" distL="0" distR="0" wp14:anchorId="4F56E3FF" wp14:editId="53759F4E">
          <wp:extent cx="2526665" cy="443230"/>
          <wp:effectExtent l="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665" cy="443230"/>
                  </a:xfrm>
                  <a:prstGeom prst="rect">
                    <a:avLst/>
                  </a:prstGeom>
                  <a:noFill/>
                  <a:ln>
                    <a:noFill/>
                  </a:ln>
                </pic:spPr>
              </pic:pic>
            </a:graphicData>
          </a:graphic>
        </wp:inline>
      </w:drawing>
    </w:r>
    <w:r w:rsidRPr="00C435F0">
      <w:rPr>
        <w:rFonts w:ascii="Georgia" w:hAnsi="Georgia"/>
        <w:sz w:val="18"/>
        <w:szCs w:val="18"/>
      </w:rPr>
      <w:t xml:space="preserve"> </w:t>
    </w:r>
    <w:r>
      <w:rPr>
        <w:rFonts w:ascii="Georgia" w:hAnsi="Georgia"/>
        <w:sz w:val="18"/>
        <w:szCs w:val="18"/>
      </w:rPr>
      <w:tab/>
    </w:r>
  </w:p>
  <w:bookmarkEnd w:id="1"/>
  <w:bookmarkEnd w:id="2"/>
  <w:bookmarkEnd w:id="3"/>
  <w:bookmarkEnd w:id="4"/>
  <w:bookmarkEnd w:id="5"/>
  <w:bookmarkEnd w:id="6"/>
  <w:bookmarkEnd w:id="7"/>
  <w:bookmarkEnd w:id="8"/>
  <w:bookmarkEnd w:id="9"/>
  <w:bookmarkEnd w:id="10"/>
  <w:bookmarkEnd w:id="11"/>
  <w:bookmarkEnd w:id="12"/>
  <w:bookmarkEnd w:id="13"/>
  <w:p w14:paraId="2485163D" w14:textId="77777777" w:rsidR="00E13FF4" w:rsidRDefault="00E13FF4" w:rsidP="00E13FF4">
    <w:pPr>
      <w:pStyle w:val="Nagwek"/>
    </w:pPr>
  </w:p>
  <w:bookmarkEnd w:id="14"/>
  <w:bookmarkEnd w:id="15"/>
  <w:p w14:paraId="20B2F99B" w14:textId="77777777" w:rsidR="00E13FF4" w:rsidRPr="00406479" w:rsidRDefault="00E13FF4" w:rsidP="00E13FF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111F6"/>
    <w:multiLevelType w:val="hybridMultilevel"/>
    <w:tmpl w:val="E8E08F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574CBF"/>
    <w:multiLevelType w:val="hybridMultilevel"/>
    <w:tmpl w:val="151641B0"/>
    <w:lvl w:ilvl="0" w:tplc="542C938A">
      <w:start w:val="1"/>
      <w:numFmt w:val="decimal"/>
      <w:lvlText w:val="%1)"/>
      <w:lvlJc w:val="left"/>
      <w:pPr>
        <w:ind w:left="643" w:hanging="360"/>
      </w:pPr>
      <w:rPr>
        <w:rFonts w:asciiTheme="minorHAnsi" w:eastAsiaTheme="minorEastAsia" w:hAnsiTheme="min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B22B2D"/>
    <w:multiLevelType w:val="hybridMultilevel"/>
    <w:tmpl w:val="30CA12F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142C134F"/>
    <w:multiLevelType w:val="hybridMultilevel"/>
    <w:tmpl w:val="F864B1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8F7A24"/>
    <w:multiLevelType w:val="hybridMultilevel"/>
    <w:tmpl w:val="8F809C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191CAC"/>
    <w:multiLevelType w:val="hybridMultilevel"/>
    <w:tmpl w:val="62DAAE40"/>
    <w:lvl w:ilvl="0" w:tplc="542C938A">
      <w:start w:val="1"/>
      <w:numFmt w:val="decimal"/>
      <w:lvlText w:val="%1)"/>
      <w:lvlJc w:val="left"/>
      <w:pPr>
        <w:ind w:left="643" w:hanging="360"/>
      </w:pPr>
      <w:rPr>
        <w:rFonts w:asciiTheme="minorHAnsi" w:eastAsiaTheme="minorEastAsia" w:hAnsiTheme="minorHAnsi" w:cstheme="minorBidi"/>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6" w15:restartNumberingAfterBreak="0">
    <w:nsid w:val="298F0896"/>
    <w:multiLevelType w:val="hybridMultilevel"/>
    <w:tmpl w:val="467C6C5C"/>
    <w:lvl w:ilvl="0" w:tplc="9A8A2596">
      <w:start w:val="1"/>
      <w:numFmt w:val="bullet"/>
      <w:lvlText w:val=""/>
      <w:lvlJc w:val="left"/>
      <w:pPr>
        <w:ind w:left="720" w:hanging="360"/>
      </w:pPr>
      <w:rPr>
        <w:rFonts w:ascii="Symbol" w:eastAsiaTheme="minorEastAsia"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59D0598"/>
    <w:multiLevelType w:val="hybridMultilevel"/>
    <w:tmpl w:val="A3A6951E"/>
    <w:lvl w:ilvl="0" w:tplc="454611EA">
      <w:start w:val="1"/>
      <w:numFmt w:val="bullet"/>
      <w:lvlText w:val=""/>
      <w:lvlJc w:val="left"/>
      <w:pPr>
        <w:ind w:left="1080" w:hanging="360"/>
      </w:pPr>
      <w:rPr>
        <w:rFonts w:ascii="Symbol" w:eastAsiaTheme="minorEastAsia" w:hAnsi="Symbol" w:cstheme="minorBid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3A2E2FED"/>
    <w:multiLevelType w:val="hybridMultilevel"/>
    <w:tmpl w:val="8DE04DB0"/>
    <w:lvl w:ilvl="0" w:tplc="9A8A2596">
      <w:start w:val="1"/>
      <w:numFmt w:val="bullet"/>
      <w:lvlText w:val=""/>
      <w:lvlJc w:val="left"/>
      <w:pPr>
        <w:ind w:left="720" w:hanging="360"/>
      </w:pPr>
      <w:rPr>
        <w:rFonts w:ascii="Symbol" w:eastAsiaTheme="minorEastAsia"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AF210E7"/>
    <w:multiLevelType w:val="hybridMultilevel"/>
    <w:tmpl w:val="380A32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6B5D90"/>
    <w:multiLevelType w:val="hybridMultilevel"/>
    <w:tmpl w:val="D42292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06405F3"/>
    <w:multiLevelType w:val="hybridMultilevel"/>
    <w:tmpl w:val="F1A017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FC0173"/>
    <w:multiLevelType w:val="hybridMultilevel"/>
    <w:tmpl w:val="93E2EC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164309C"/>
    <w:multiLevelType w:val="hybridMultilevel"/>
    <w:tmpl w:val="D116F3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1EC5D91"/>
    <w:multiLevelType w:val="hybridMultilevel"/>
    <w:tmpl w:val="FDC882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A12F0E"/>
    <w:multiLevelType w:val="multilevel"/>
    <w:tmpl w:val="B35C58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1063237"/>
    <w:multiLevelType w:val="hybridMultilevel"/>
    <w:tmpl w:val="5E66ECEC"/>
    <w:lvl w:ilvl="0" w:tplc="9A8A2596">
      <w:start w:val="1"/>
      <w:numFmt w:val="bullet"/>
      <w:lvlText w:val=""/>
      <w:lvlJc w:val="left"/>
      <w:pPr>
        <w:ind w:left="720" w:hanging="360"/>
      </w:pPr>
      <w:rPr>
        <w:rFonts w:ascii="Symbol" w:eastAsiaTheme="minorEastAsia"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0"/>
  </w:num>
  <w:num w:numId="4">
    <w:abstractNumId w:val="11"/>
  </w:num>
  <w:num w:numId="5">
    <w:abstractNumId w:val="9"/>
  </w:num>
  <w:num w:numId="6">
    <w:abstractNumId w:val="7"/>
  </w:num>
  <w:num w:numId="7">
    <w:abstractNumId w:val="5"/>
  </w:num>
  <w:num w:numId="8">
    <w:abstractNumId w:val="1"/>
  </w:num>
  <w:num w:numId="9">
    <w:abstractNumId w:val="3"/>
  </w:num>
  <w:num w:numId="10">
    <w:abstractNumId w:val="4"/>
  </w:num>
  <w:num w:numId="11">
    <w:abstractNumId w:val="10"/>
  </w:num>
  <w:num w:numId="12">
    <w:abstractNumId w:val="16"/>
  </w:num>
  <w:num w:numId="13">
    <w:abstractNumId w:val="2"/>
  </w:num>
  <w:num w:numId="14">
    <w:abstractNumId w:val="13"/>
  </w:num>
  <w:num w:numId="15">
    <w:abstractNumId w:val="14"/>
  </w:num>
  <w:num w:numId="16">
    <w:abstractNumId w:val="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9D2"/>
    <w:rsid w:val="00030CB8"/>
    <w:rsid w:val="00034AAF"/>
    <w:rsid w:val="00063E75"/>
    <w:rsid w:val="0006635D"/>
    <w:rsid w:val="000827C1"/>
    <w:rsid w:val="00091584"/>
    <w:rsid w:val="000932B7"/>
    <w:rsid w:val="00095502"/>
    <w:rsid w:val="000A1375"/>
    <w:rsid w:val="000B5206"/>
    <w:rsid w:val="000C14D3"/>
    <w:rsid w:val="000C1ADE"/>
    <w:rsid w:val="000D372E"/>
    <w:rsid w:val="000D410E"/>
    <w:rsid w:val="000D49A1"/>
    <w:rsid w:val="000D4F3C"/>
    <w:rsid w:val="00123532"/>
    <w:rsid w:val="00125676"/>
    <w:rsid w:val="00126E7B"/>
    <w:rsid w:val="00142A66"/>
    <w:rsid w:val="00155C75"/>
    <w:rsid w:val="001627BE"/>
    <w:rsid w:val="00165BCE"/>
    <w:rsid w:val="001760F4"/>
    <w:rsid w:val="0019702E"/>
    <w:rsid w:val="001B2D48"/>
    <w:rsid w:val="001C0BD4"/>
    <w:rsid w:val="001C4778"/>
    <w:rsid w:val="001C6A31"/>
    <w:rsid w:val="001D4450"/>
    <w:rsid w:val="001E1AFD"/>
    <w:rsid w:val="002034F6"/>
    <w:rsid w:val="00216115"/>
    <w:rsid w:val="002306CC"/>
    <w:rsid w:val="00236626"/>
    <w:rsid w:val="00236FF6"/>
    <w:rsid w:val="00262262"/>
    <w:rsid w:val="0026295C"/>
    <w:rsid w:val="00271887"/>
    <w:rsid w:val="0027235F"/>
    <w:rsid w:val="00274704"/>
    <w:rsid w:val="0027750E"/>
    <w:rsid w:val="002776FB"/>
    <w:rsid w:val="0028058B"/>
    <w:rsid w:val="00280FF0"/>
    <w:rsid w:val="00296FEA"/>
    <w:rsid w:val="002C2889"/>
    <w:rsid w:val="002C2CF8"/>
    <w:rsid w:val="002E2CA6"/>
    <w:rsid w:val="002E3D86"/>
    <w:rsid w:val="002E6465"/>
    <w:rsid w:val="002E6BBE"/>
    <w:rsid w:val="002F27F8"/>
    <w:rsid w:val="00322F84"/>
    <w:rsid w:val="00327E18"/>
    <w:rsid w:val="003337FD"/>
    <w:rsid w:val="0034093C"/>
    <w:rsid w:val="0034697C"/>
    <w:rsid w:val="00350733"/>
    <w:rsid w:val="00367DF2"/>
    <w:rsid w:val="00383812"/>
    <w:rsid w:val="003A28AD"/>
    <w:rsid w:val="003B080B"/>
    <w:rsid w:val="003B13AF"/>
    <w:rsid w:val="003B36AE"/>
    <w:rsid w:val="003D3F4D"/>
    <w:rsid w:val="00413FF2"/>
    <w:rsid w:val="00422B94"/>
    <w:rsid w:val="00433130"/>
    <w:rsid w:val="00460EDC"/>
    <w:rsid w:val="0046108D"/>
    <w:rsid w:val="004A07FF"/>
    <w:rsid w:val="004B7707"/>
    <w:rsid w:val="004C1A4E"/>
    <w:rsid w:val="004E06A7"/>
    <w:rsid w:val="004E349F"/>
    <w:rsid w:val="004E4996"/>
    <w:rsid w:val="00501A59"/>
    <w:rsid w:val="005100DF"/>
    <w:rsid w:val="00515EB9"/>
    <w:rsid w:val="00517570"/>
    <w:rsid w:val="005464DA"/>
    <w:rsid w:val="00547703"/>
    <w:rsid w:val="00551CF4"/>
    <w:rsid w:val="00564EAF"/>
    <w:rsid w:val="005A4583"/>
    <w:rsid w:val="005C7E5A"/>
    <w:rsid w:val="005D3C46"/>
    <w:rsid w:val="005E155F"/>
    <w:rsid w:val="005F1D5F"/>
    <w:rsid w:val="005F4BBF"/>
    <w:rsid w:val="005F5BB6"/>
    <w:rsid w:val="00644766"/>
    <w:rsid w:val="00644A02"/>
    <w:rsid w:val="00655254"/>
    <w:rsid w:val="00661C02"/>
    <w:rsid w:val="006671EE"/>
    <w:rsid w:val="00670E7B"/>
    <w:rsid w:val="00672358"/>
    <w:rsid w:val="006763BA"/>
    <w:rsid w:val="006823D6"/>
    <w:rsid w:val="0069091C"/>
    <w:rsid w:val="00695B26"/>
    <w:rsid w:val="006A7A44"/>
    <w:rsid w:val="006B4948"/>
    <w:rsid w:val="006C0810"/>
    <w:rsid w:val="006C159C"/>
    <w:rsid w:val="006C5B0B"/>
    <w:rsid w:val="006E152D"/>
    <w:rsid w:val="006E2050"/>
    <w:rsid w:val="00711E73"/>
    <w:rsid w:val="00723A34"/>
    <w:rsid w:val="007568F0"/>
    <w:rsid w:val="0076629D"/>
    <w:rsid w:val="007860DD"/>
    <w:rsid w:val="00790FC6"/>
    <w:rsid w:val="007979E8"/>
    <w:rsid w:val="007B1892"/>
    <w:rsid w:val="007D4788"/>
    <w:rsid w:val="007E0A9F"/>
    <w:rsid w:val="007E7A31"/>
    <w:rsid w:val="007F33AD"/>
    <w:rsid w:val="007F595E"/>
    <w:rsid w:val="0080094D"/>
    <w:rsid w:val="008066DE"/>
    <w:rsid w:val="008075C0"/>
    <w:rsid w:val="008077F0"/>
    <w:rsid w:val="008313A0"/>
    <w:rsid w:val="00835784"/>
    <w:rsid w:val="00835849"/>
    <w:rsid w:val="00836439"/>
    <w:rsid w:val="0084737D"/>
    <w:rsid w:val="008504EB"/>
    <w:rsid w:val="0085180E"/>
    <w:rsid w:val="00876EDD"/>
    <w:rsid w:val="0089273C"/>
    <w:rsid w:val="008A74DD"/>
    <w:rsid w:val="008B2791"/>
    <w:rsid w:val="008B4343"/>
    <w:rsid w:val="008C4C21"/>
    <w:rsid w:val="008C4C35"/>
    <w:rsid w:val="008E48CE"/>
    <w:rsid w:val="00903586"/>
    <w:rsid w:val="009229D2"/>
    <w:rsid w:val="009308EE"/>
    <w:rsid w:val="009804E2"/>
    <w:rsid w:val="009D71F5"/>
    <w:rsid w:val="00A01E10"/>
    <w:rsid w:val="00A03739"/>
    <w:rsid w:val="00A21D05"/>
    <w:rsid w:val="00A30288"/>
    <w:rsid w:val="00A3040F"/>
    <w:rsid w:val="00A37FDF"/>
    <w:rsid w:val="00A471C7"/>
    <w:rsid w:val="00A85418"/>
    <w:rsid w:val="00A860F8"/>
    <w:rsid w:val="00A93C5D"/>
    <w:rsid w:val="00A94C13"/>
    <w:rsid w:val="00AB7937"/>
    <w:rsid w:val="00AE74A3"/>
    <w:rsid w:val="00B26F5D"/>
    <w:rsid w:val="00B54814"/>
    <w:rsid w:val="00B579AD"/>
    <w:rsid w:val="00B80171"/>
    <w:rsid w:val="00B87C1D"/>
    <w:rsid w:val="00BB0F68"/>
    <w:rsid w:val="00BB3850"/>
    <w:rsid w:val="00BB4026"/>
    <w:rsid w:val="00BE6ECA"/>
    <w:rsid w:val="00BF2EE0"/>
    <w:rsid w:val="00BF78EC"/>
    <w:rsid w:val="00C04088"/>
    <w:rsid w:val="00C230E1"/>
    <w:rsid w:val="00C24A2E"/>
    <w:rsid w:val="00C42181"/>
    <w:rsid w:val="00C60DB1"/>
    <w:rsid w:val="00C82CE1"/>
    <w:rsid w:val="00C87C67"/>
    <w:rsid w:val="00C936A4"/>
    <w:rsid w:val="00C97268"/>
    <w:rsid w:val="00CB3F55"/>
    <w:rsid w:val="00CB7F70"/>
    <w:rsid w:val="00CC5530"/>
    <w:rsid w:val="00CD56D8"/>
    <w:rsid w:val="00CF3A91"/>
    <w:rsid w:val="00D23B8E"/>
    <w:rsid w:val="00D2499A"/>
    <w:rsid w:val="00D27C05"/>
    <w:rsid w:val="00D322B8"/>
    <w:rsid w:val="00D32E1C"/>
    <w:rsid w:val="00D375BB"/>
    <w:rsid w:val="00D46F73"/>
    <w:rsid w:val="00D7234C"/>
    <w:rsid w:val="00DA1736"/>
    <w:rsid w:val="00DC10A7"/>
    <w:rsid w:val="00DD2C33"/>
    <w:rsid w:val="00DD4314"/>
    <w:rsid w:val="00DD5A0C"/>
    <w:rsid w:val="00DE1851"/>
    <w:rsid w:val="00DF0EEF"/>
    <w:rsid w:val="00DF5226"/>
    <w:rsid w:val="00E1371B"/>
    <w:rsid w:val="00E13FF4"/>
    <w:rsid w:val="00E303C1"/>
    <w:rsid w:val="00E304F0"/>
    <w:rsid w:val="00E40631"/>
    <w:rsid w:val="00E42F88"/>
    <w:rsid w:val="00E5022A"/>
    <w:rsid w:val="00E6011A"/>
    <w:rsid w:val="00E84F84"/>
    <w:rsid w:val="00E910CF"/>
    <w:rsid w:val="00ED617C"/>
    <w:rsid w:val="00F21917"/>
    <w:rsid w:val="00F36908"/>
    <w:rsid w:val="00F514F7"/>
    <w:rsid w:val="00F527DA"/>
    <w:rsid w:val="00F5728B"/>
    <w:rsid w:val="00F6492E"/>
    <w:rsid w:val="00F737B6"/>
    <w:rsid w:val="00F80F53"/>
    <w:rsid w:val="00F81A87"/>
    <w:rsid w:val="00F8481E"/>
    <w:rsid w:val="00FA5E0B"/>
    <w:rsid w:val="00FB38F3"/>
    <w:rsid w:val="00FB6C5F"/>
    <w:rsid w:val="00FB6E36"/>
    <w:rsid w:val="00FC1C92"/>
    <w:rsid w:val="00FF6B90"/>
  </w:rsids>
  <m:mathPr>
    <m:mathFont m:val="Cambria Math"/>
    <m:brkBin m:val="before"/>
    <m:brkBinSub m:val="--"/>
    <m:smallFrac m:val="0"/>
    <m:dispDef/>
    <m:lMargin m:val="0"/>
    <m:rMargin m:val="0"/>
    <m:defJc m:val="centerGroup"/>
    <m:wrapIndent m:val="1440"/>
    <m:intLim m:val="subSup"/>
    <m:naryLim m:val="undOvr"/>
  </m:mathPr>
  <w:themeFontLang w:val="pl-PL" w:eastAsia="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68D92"/>
  <w15:chartTrackingRefBased/>
  <w15:docId w15:val="{05AEDD4D-AF00-4A03-9C77-2897D241C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229D2"/>
    <w:rPr>
      <w:rFonts w:eastAsiaTheme="minorEastAsia"/>
      <w:lang w:val="en-GB" w:eastAsia="zh-CN"/>
    </w:rPr>
  </w:style>
  <w:style w:type="paragraph" w:styleId="Nagwek1">
    <w:name w:val="heading 1"/>
    <w:basedOn w:val="Normalny"/>
    <w:link w:val="Nagwek1Znak"/>
    <w:uiPriority w:val="9"/>
    <w:qFormat/>
    <w:rsid w:val="003337FD"/>
    <w:pPr>
      <w:spacing w:before="100" w:beforeAutospacing="1" w:after="100" w:afterAutospacing="1" w:line="240" w:lineRule="auto"/>
      <w:outlineLvl w:val="0"/>
    </w:pPr>
    <w:rPr>
      <w:rFonts w:ascii="Times New Roman" w:eastAsia="Times New Roman" w:hAnsi="Times New Roman" w:cs="Times New Roman"/>
      <w:b/>
      <w:bCs/>
      <w:kern w:val="36"/>
      <w:sz w:val="48"/>
      <w:szCs w:val="48"/>
      <w:lang w:val="p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229D2"/>
    <w:pPr>
      <w:ind w:left="720"/>
      <w:contextualSpacing/>
    </w:pPr>
  </w:style>
  <w:style w:type="paragraph" w:styleId="Tekstdymka">
    <w:name w:val="Balloon Text"/>
    <w:basedOn w:val="Normalny"/>
    <w:link w:val="TekstdymkaZnak"/>
    <w:uiPriority w:val="99"/>
    <w:semiHidden/>
    <w:unhideWhenUsed/>
    <w:rsid w:val="005F4BB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4BBF"/>
    <w:rPr>
      <w:rFonts w:ascii="Segoe UI" w:eastAsiaTheme="minorEastAsia" w:hAnsi="Segoe UI" w:cs="Segoe UI"/>
      <w:sz w:val="18"/>
      <w:szCs w:val="18"/>
      <w:lang w:val="en-GB" w:eastAsia="zh-CN"/>
    </w:rPr>
  </w:style>
  <w:style w:type="character" w:styleId="Hipercze">
    <w:name w:val="Hyperlink"/>
    <w:basedOn w:val="Domylnaczcionkaakapitu"/>
    <w:uiPriority w:val="99"/>
    <w:semiHidden/>
    <w:unhideWhenUsed/>
    <w:rsid w:val="007F33AD"/>
    <w:rPr>
      <w:color w:val="0000FF"/>
      <w:u w:val="single"/>
    </w:rPr>
  </w:style>
  <w:style w:type="paragraph" w:styleId="Tekstprzypisukocowego">
    <w:name w:val="endnote text"/>
    <w:basedOn w:val="Normalny"/>
    <w:link w:val="TekstprzypisukocowegoZnak"/>
    <w:uiPriority w:val="99"/>
    <w:semiHidden/>
    <w:unhideWhenUsed/>
    <w:rsid w:val="00D322B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322B8"/>
    <w:rPr>
      <w:rFonts w:eastAsiaTheme="minorEastAsia"/>
      <w:sz w:val="20"/>
      <w:szCs w:val="20"/>
      <w:lang w:val="en-GB" w:eastAsia="zh-CN"/>
    </w:rPr>
  </w:style>
  <w:style w:type="character" w:styleId="Odwoanieprzypisukocowego">
    <w:name w:val="endnote reference"/>
    <w:basedOn w:val="Domylnaczcionkaakapitu"/>
    <w:uiPriority w:val="99"/>
    <w:semiHidden/>
    <w:unhideWhenUsed/>
    <w:rsid w:val="00D322B8"/>
    <w:rPr>
      <w:vertAlign w:val="superscript"/>
    </w:rPr>
  </w:style>
  <w:style w:type="paragraph" w:styleId="Legenda">
    <w:name w:val="caption"/>
    <w:basedOn w:val="Normalny"/>
    <w:next w:val="Normalny"/>
    <w:uiPriority w:val="35"/>
    <w:unhideWhenUsed/>
    <w:qFormat/>
    <w:rsid w:val="00D322B8"/>
    <w:pPr>
      <w:spacing w:after="200" w:line="240" w:lineRule="auto"/>
    </w:pPr>
    <w:rPr>
      <w:i/>
      <w:iCs/>
      <w:color w:val="44546A" w:themeColor="text2"/>
      <w:sz w:val="18"/>
      <w:szCs w:val="18"/>
    </w:rPr>
  </w:style>
  <w:style w:type="character" w:styleId="UyteHipercze">
    <w:name w:val="FollowedHyperlink"/>
    <w:basedOn w:val="Domylnaczcionkaakapitu"/>
    <w:uiPriority w:val="99"/>
    <w:semiHidden/>
    <w:unhideWhenUsed/>
    <w:rsid w:val="00A21D05"/>
    <w:rPr>
      <w:color w:val="954F72" w:themeColor="followedHyperlink"/>
      <w:u w:val="single"/>
    </w:rPr>
  </w:style>
  <w:style w:type="paragraph" w:styleId="Tekstprzypisudolnego">
    <w:name w:val="footnote text"/>
    <w:basedOn w:val="Normalny"/>
    <w:link w:val="TekstprzypisudolnegoZnak"/>
    <w:uiPriority w:val="99"/>
    <w:semiHidden/>
    <w:unhideWhenUsed/>
    <w:rsid w:val="006B494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B4948"/>
    <w:rPr>
      <w:rFonts w:eastAsiaTheme="minorEastAsia"/>
      <w:sz w:val="20"/>
      <w:szCs w:val="20"/>
      <w:lang w:val="en-GB" w:eastAsia="zh-CN"/>
    </w:rPr>
  </w:style>
  <w:style w:type="character" w:styleId="Odwoanieprzypisudolnego">
    <w:name w:val="footnote reference"/>
    <w:basedOn w:val="Domylnaczcionkaakapitu"/>
    <w:uiPriority w:val="99"/>
    <w:semiHidden/>
    <w:unhideWhenUsed/>
    <w:rsid w:val="006B4948"/>
    <w:rPr>
      <w:vertAlign w:val="superscript"/>
    </w:rPr>
  </w:style>
  <w:style w:type="character" w:customStyle="1" w:styleId="Nagwek1Znak">
    <w:name w:val="Nagłówek 1 Znak"/>
    <w:basedOn w:val="Domylnaczcionkaakapitu"/>
    <w:link w:val="Nagwek1"/>
    <w:uiPriority w:val="9"/>
    <w:rsid w:val="003337FD"/>
    <w:rPr>
      <w:rFonts w:ascii="Times New Roman" w:eastAsia="Times New Roman" w:hAnsi="Times New Roman" w:cs="Times New Roman"/>
      <w:b/>
      <w:bCs/>
      <w:kern w:val="36"/>
      <w:sz w:val="48"/>
      <w:szCs w:val="48"/>
      <w:lang w:eastAsia="pl-PL"/>
    </w:rPr>
  </w:style>
  <w:style w:type="paragraph" w:styleId="NormalnyWeb">
    <w:name w:val="Normal (Web)"/>
    <w:basedOn w:val="Normalny"/>
    <w:uiPriority w:val="99"/>
    <w:semiHidden/>
    <w:unhideWhenUsed/>
    <w:rsid w:val="003337FD"/>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paragraph" w:styleId="Nagwek">
    <w:name w:val="header"/>
    <w:basedOn w:val="Normalny"/>
    <w:link w:val="NagwekZnak"/>
    <w:uiPriority w:val="99"/>
    <w:unhideWhenUsed/>
    <w:rsid w:val="00FB6E3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B6E36"/>
    <w:rPr>
      <w:rFonts w:eastAsiaTheme="minorEastAsia"/>
      <w:lang w:val="en-GB" w:eastAsia="zh-CN"/>
    </w:rPr>
  </w:style>
  <w:style w:type="paragraph" w:styleId="Stopka">
    <w:name w:val="footer"/>
    <w:basedOn w:val="Normalny"/>
    <w:link w:val="StopkaZnak"/>
    <w:uiPriority w:val="99"/>
    <w:unhideWhenUsed/>
    <w:rsid w:val="00FB6E3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6E36"/>
    <w:rPr>
      <w:rFonts w:eastAsiaTheme="minorEastAsia"/>
      <w:lang w:val="en-GB" w:eastAsia="zh-CN"/>
    </w:rPr>
  </w:style>
  <w:style w:type="table" w:styleId="Tabela-Siatka">
    <w:name w:val="Table Grid"/>
    <w:basedOn w:val="Standardowy"/>
    <w:uiPriority w:val="39"/>
    <w:rsid w:val="001B2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listy3akcent1">
    <w:name w:val="List Table 3 Accent 1"/>
    <w:basedOn w:val="Standardowy"/>
    <w:uiPriority w:val="48"/>
    <w:rsid w:val="001B2D48"/>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elalisty3akcent5">
    <w:name w:val="List Table 3 Accent 5"/>
    <w:basedOn w:val="Standardowy"/>
    <w:uiPriority w:val="48"/>
    <w:rsid w:val="001B2D48"/>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elalisty4akcent5">
    <w:name w:val="List Table 4 Accent 5"/>
    <w:basedOn w:val="Standardowy"/>
    <w:uiPriority w:val="49"/>
    <w:rsid w:val="001B2D4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4485">
      <w:bodyDiv w:val="1"/>
      <w:marLeft w:val="0"/>
      <w:marRight w:val="0"/>
      <w:marTop w:val="0"/>
      <w:marBottom w:val="0"/>
      <w:divBdr>
        <w:top w:val="none" w:sz="0" w:space="0" w:color="auto"/>
        <w:left w:val="none" w:sz="0" w:space="0" w:color="auto"/>
        <w:bottom w:val="none" w:sz="0" w:space="0" w:color="auto"/>
        <w:right w:val="none" w:sz="0" w:space="0" w:color="auto"/>
      </w:divBdr>
    </w:div>
    <w:div w:id="26834354">
      <w:bodyDiv w:val="1"/>
      <w:marLeft w:val="0"/>
      <w:marRight w:val="0"/>
      <w:marTop w:val="0"/>
      <w:marBottom w:val="0"/>
      <w:divBdr>
        <w:top w:val="none" w:sz="0" w:space="0" w:color="auto"/>
        <w:left w:val="none" w:sz="0" w:space="0" w:color="auto"/>
        <w:bottom w:val="none" w:sz="0" w:space="0" w:color="auto"/>
        <w:right w:val="none" w:sz="0" w:space="0" w:color="auto"/>
      </w:divBdr>
    </w:div>
    <w:div w:id="49429122">
      <w:bodyDiv w:val="1"/>
      <w:marLeft w:val="0"/>
      <w:marRight w:val="0"/>
      <w:marTop w:val="0"/>
      <w:marBottom w:val="0"/>
      <w:divBdr>
        <w:top w:val="none" w:sz="0" w:space="0" w:color="auto"/>
        <w:left w:val="none" w:sz="0" w:space="0" w:color="auto"/>
        <w:bottom w:val="none" w:sz="0" w:space="0" w:color="auto"/>
        <w:right w:val="none" w:sz="0" w:space="0" w:color="auto"/>
      </w:divBdr>
    </w:div>
    <w:div w:id="162012014">
      <w:bodyDiv w:val="1"/>
      <w:marLeft w:val="0"/>
      <w:marRight w:val="0"/>
      <w:marTop w:val="0"/>
      <w:marBottom w:val="0"/>
      <w:divBdr>
        <w:top w:val="none" w:sz="0" w:space="0" w:color="auto"/>
        <w:left w:val="none" w:sz="0" w:space="0" w:color="auto"/>
        <w:bottom w:val="none" w:sz="0" w:space="0" w:color="auto"/>
        <w:right w:val="none" w:sz="0" w:space="0" w:color="auto"/>
      </w:divBdr>
    </w:div>
    <w:div w:id="245845249">
      <w:bodyDiv w:val="1"/>
      <w:marLeft w:val="0"/>
      <w:marRight w:val="0"/>
      <w:marTop w:val="0"/>
      <w:marBottom w:val="0"/>
      <w:divBdr>
        <w:top w:val="none" w:sz="0" w:space="0" w:color="auto"/>
        <w:left w:val="none" w:sz="0" w:space="0" w:color="auto"/>
        <w:bottom w:val="none" w:sz="0" w:space="0" w:color="auto"/>
        <w:right w:val="none" w:sz="0" w:space="0" w:color="auto"/>
      </w:divBdr>
    </w:div>
    <w:div w:id="441919841">
      <w:bodyDiv w:val="1"/>
      <w:marLeft w:val="0"/>
      <w:marRight w:val="0"/>
      <w:marTop w:val="0"/>
      <w:marBottom w:val="0"/>
      <w:divBdr>
        <w:top w:val="none" w:sz="0" w:space="0" w:color="auto"/>
        <w:left w:val="none" w:sz="0" w:space="0" w:color="auto"/>
        <w:bottom w:val="none" w:sz="0" w:space="0" w:color="auto"/>
        <w:right w:val="none" w:sz="0" w:space="0" w:color="auto"/>
      </w:divBdr>
    </w:div>
    <w:div w:id="452940914">
      <w:bodyDiv w:val="1"/>
      <w:marLeft w:val="0"/>
      <w:marRight w:val="0"/>
      <w:marTop w:val="0"/>
      <w:marBottom w:val="0"/>
      <w:divBdr>
        <w:top w:val="none" w:sz="0" w:space="0" w:color="auto"/>
        <w:left w:val="none" w:sz="0" w:space="0" w:color="auto"/>
        <w:bottom w:val="none" w:sz="0" w:space="0" w:color="auto"/>
        <w:right w:val="none" w:sz="0" w:space="0" w:color="auto"/>
      </w:divBdr>
    </w:div>
    <w:div w:id="573200605">
      <w:bodyDiv w:val="1"/>
      <w:marLeft w:val="0"/>
      <w:marRight w:val="0"/>
      <w:marTop w:val="0"/>
      <w:marBottom w:val="0"/>
      <w:divBdr>
        <w:top w:val="none" w:sz="0" w:space="0" w:color="auto"/>
        <w:left w:val="none" w:sz="0" w:space="0" w:color="auto"/>
        <w:bottom w:val="none" w:sz="0" w:space="0" w:color="auto"/>
        <w:right w:val="none" w:sz="0" w:space="0" w:color="auto"/>
      </w:divBdr>
    </w:div>
    <w:div w:id="604121857">
      <w:bodyDiv w:val="1"/>
      <w:marLeft w:val="0"/>
      <w:marRight w:val="0"/>
      <w:marTop w:val="0"/>
      <w:marBottom w:val="0"/>
      <w:divBdr>
        <w:top w:val="none" w:sz="0" w:space="0" w:color="auto"/>
        <w:left w:val="none" w:sz="0" w:space="0" w:color="auto"/>
        <w:bottom w:val="none" w:sz="0" w:space="0" w:color="auto"/>
        <w:right w:val="none" w:sz="0" w:space="0" w:color="auto"/>
      </w:divBdr>
    </w:div>
    <w:div w:id="621038426">
      <w:bodyDiv w:val="1"/>
      <w:marLeft w:val="0"/>
      <w:marRight w:val="0"/>
      <w:marTop w:val="0"/>
      <w:marBottom w:val="0"/>
      <w:divBdr>
        <w:top w:val="none" w:sz="0" w:space="0" w:color="auto"/>
        <w:left w:val="none" w:sz="0" w:space="0" w:color="auto"/>
        <w:bottom w:val="none" w:sz="0" w:space="0" w:color="auto"/>
        <w:right w:val="none" w:sz="0" w:space="0" w:color="auto"/>
      </w:divBdr>
    </w:div>
    <w:div w:id="737366793">
      <w:bodyDiv w:val="1"/>
      <w:marLeft w:val="0"/>
      <w:marRight w:val="0"/>
      <w:marTop w:val="0"/>
      <w:marBottom w:val="0"/>
      <w:divBdr>
        <w:top w:val="none" w:sz="0" w:space="0" w:color="auto"/>
        <w:left w:val="none" w:sz="0" w:space="0" w:color="auto"/>
        <w:bottom w:val="none" w:sz="0" w:space="0" w:color="auto"/>
        <w:right w:val="none" w:sz="0" w:space="0" w:color="auto"/>
      </w:divBdr>
    </w:div>
    <w:div w:id="769274810">
      <w:bodyDiv w:val="1"/>
      <w:marLeft w:val="0"/>
      <w:marRight w:val="0"/>
      <w:marTop w:val="0"/>
      <w:marBottom w:val="0"/>
      <w:divBdr>
        <w:top w:val="none" w:sz="0" w:space="0" w:color="auto"/>
        <w:left w:val="none" w:sz="0" w:space="0" w:color="auto"/>
        <w:bottom w:val="none" w:sz="0" w:space="0" w:color="auto"/>
        <w:right w:val="none" w:sz="0" w:space="0" w:color="auto"/>
      </w:divBdr>
    </w:div>
    <w:div w:id="843402183">
      <w:bodyDiv w:val="1"/>
      <w:marLeft w:val="0"/>
      <w:marRight w:val="0"/>
      <w:marTop w:val="0"/>
      <w:marBottom w:val="0"/>
      <w:divBdr>
        <w:top w:val="none" w:sz="0" w:space="0" w:color="auto"/>
        <w:left w:val="none" w:sz="0" w:space="0" w:color="auto"/>
        <w:bottom w:val="none" w:sz="0" w:space="0" w:color="auto"/>
        <w:right w:val="none" w:sz="0" w:space="0" w:color="auto"/>
      </w:divBdr>
    </w:div>
    <w:div w:id="1006979390">
      <w:bodyDiv w:val="1"/>
      <w:marLeft w:val="0"/>
      <w:marRight w:val="0"/>
      <w:marTop w:val="0"/>
      <w:marBottom w:val="0"/>
      <w:divBdr>
        <w:top w:val="none" w:sz="0" w:space="0" w:color="auto"/>
        <w:left w:val="none" w:sz="0" w:space="0" w:color="auto"/>
        <w:bottom w:val="none" w:sz="0" w:space="0" w:color="auto"/>
        <w:right w:val="none" w:sz="0" w:space="0" w:color="auto"/>
      </w:divBdr>
    </w:div>
    <w:div w:id="1210915848">
      <w:bodyDiv w:val="1"/>
      <w:marLeft w:val="0"/>
      <w:marRight w:val="0"/>
      <w:marTop w:val="0"/>
      <w:marBottom w:val="0"/>
      <w:divBdr>
        <w:top w:val="none" w:sz="0" w:space="0" w:color="auto"/>
        <w:left w:val="none" w:sz="0" w:space="0" w:color="auto"/>
        <w:bottom w:val="none" w:sz="0" w:space="0" w:color="auto"/>
        <w:right w:val="none" w:sz="0" w:space="0" w:color="auto"/>
      </w:divBdr>
    </w:div>
    <w:div w:id="1325547526">
      <w:bodyDiv w:val="1"/>
      <w:marLeft w:val="0"/>
      <w:marRight w:val="0"/>
      <w:marTop w:val="0"/>
      <w:marBottom w:val="0"/>
      <w:divBdr>
        <w:top w:val="none" w:sz="0" w:space="0" w:color="auto"/>
        <w:left w:val="none" w:sz="0" w:space="0" w:color="auto"/>
        <w:bottom w:val="none" w:sz="0" w:space="0" w:color="auto"/>
        <w:right w:val="none" w:sz="0" w:space="0" w:color="auto"/>
      </w:divBdr>
    </w:div>
    <w:div w:id="1366560369">
      <w:bodyDiv w:val="1"/>
      <w:marLeft w:val="0"/>
      <w:marRight w:val="0"/>
      <w:marTop w:val="0"/>
      <w:marBottom w:val="0"/>
      <w:divBdr>
        <w:top w:val="none" w:sz="0" w:space="0" w:color="auto"/>
        <w:left w:val="none" w:sz="0" w:space="0" w:color="auto"/>
        <w:bottom w:val="none" w:sz="0" w:space="0" w:color="auto"/>
        <w:right w:val="none" w:sz="0" w:space="0" w:color="auto"/>
      </w:divBdr>
    </w:div>
    <w:div w:id="1514802164">
      <w:bodyDiv w:val="1"/>
      <w:marLeft w:val="0"/>
      <w:marRight w:val="0"/>
      <w:marTop w:val="0"/>
      <w:marBottom w:val="0"/>
      <w:divBdr>
        <w:top w:val="none" w:sz="0" w:space="0" w:color="auto"/>
        <w:left w:val="none" w:sz="0" w:space="0" w:color="auto"/>
        <w:bottom w:val="none" w:sz="0" w:space="0" w:color="auto"/>
        <w:right w:val="none" w:sz="0" w:space="0" w:color="auto"/>
      </w:divBdr>
    </w:div>
    <w:div w:id="1628318152">
      <w:bodyDiv w:val="1"/>
      <w:marLeft w:val="0"/>
      <w:marRight w:val="0"/>
      <w:marTop w:val="0"/>
      <w:marBottom w:val="0"/>
      <w:divBdr>
        <w:top w:val="none" w:sz="0" w:space="0" w:color="auto"/>
        <w:left w:val="none" w:sz="0" w:space="0" w:color="auto"/>
        <w:bottom w:val="none" w:sz="0" w:space="0" w:color="auto"/>
        <w:right w:val="none" w:sz="0" w:space="0" w:color="auto"/>
      </w:divBdr>
    </w:div>
    <w:div w:id="1713651045">
      <w:bodyDiv w:val="1"/>
      <w:marLeft w:val="0"/>
      <w:marRight w:val="0"/>
      <w:marTop w:val="0"/>
      <w:marBottom w:val="0"/>
      <w:divBdr>
        <w:top w:val="none" w:sz="0" w:space="0" w:color="auto"/>
        <w:left w:val="none" w:sz="0" w:space="0" w:color="auto"/>
        <w:bottom w:val="none" w:sz="0" w:space="0" w:color="auto"/>
        <w:right w:val="none" w:sz="0" w:space="0" w:color="auto"/>
      </w:divBdr>
    </w:div>
    <w:div w:id="1719013339">
      <w:bodyDiv w:val="1"/>
      <w:marLeft w:val="0"/>
      <w:marRight w:val="0"/>
      <w:marTop w:val="0"/>
      <w:marBottom w:val="0"/>
      <w:divBdr>
        <w:top w:val="none" w:sz="0" w:space="0" w:color="auto"/>
        <w:left w:val="none" w:sz="0" w:space="0" w:color="auto"/>
        <w:bottom w:val="none" w:sz="0" w:space="0" w:color="auto"/>
        <w:right w:val="none" w:sz="0" w:space="0" w:color="auto"/>
      </w:divBdr>
    </w:div>
    <w:div w:id="1734043198">
      <w:bodyDiv w:val="1"/>
      <w:marLeft w:val="0"/>
      <w:marRight w:val="0"/>
      <w:marTop w:val="0"/>
      <w:marBottom w:val="0"/>
      <w:divBdr>
        <w:top w:val="none" w:sz="0" w:space="0" w:color="auto"/>
        <w:left w:val="none" w:sz="0" w:space="0" w:color="auto"/>
        <w:bottom w:val="none" w:sz="0" w:space="0" w:color="auto"/>
        <w:right w:val="none" w:sz="0" w:space="0" w:color="auto"/>
      </w:divBdr>
    </w:div>
    <w:div w:id="1793673539">
      <w:bodyDiv w:val="1"/>
      <w:marLeft w:val="0"/>
      <w:marRight w:val="0"/>
      <w:marTop w:val="0"/>
      <w:marBottom w:val="0"/>
      <w:divBdr>
        <w:top w:val="none" w:sz="0" w:space="0" w:color="auto"/>
        <w:left w:val="none" w:sz="0" w:space="0" w:color="auto"/>
        <w:bottom w:val="none" w:sz="0" w:space="0" w:color="auto"/>
        <w:right w:val="none" w:sz="0" w:space="0" w:color="auto"/>
      </w:divBdr>
    </w:div>
    <w:div w:id="2023429708">
      <w:bodyDiv w:val="1"/>
      <w:marLeft w:val="0"/>
      <w:marRight w:val="0"/>
      <w:marTop w:val="0"/>
      <w:marBottom w:val="0"/>
      <w:divBdr>
        <w:top w:val="none" w:sz="0" w:space="0" w:color="auto"/>
        <w:left w:val="none" w:sz="0" w:space="0" w:color="auto"/>
        <w:bottom w:val="none" w:sz="0" w:space="0" w:color="auto"/>
        <w:right w:val="none" w:sz="0" w:space="0" w:color="auto"/>
      </w:divBdr>
    </w:div>
    <w:div w:id="214665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hydropower.org/statusreport" TargetMode="External"/><Relationship Id="rId18" Type="http://schemas.openxmlformats.org/officeDocument/2006/relationships/hyperlink" Target="https://www.irena.org/Statistics/View-Data-by-Topic/Finance-and-Investment/Investment-Trends" TargetMode="External"/><Relationship Id="rId26" Type="http://schemas.openxmlformats.org/officeDocument/2006/relationships/hyperlink" Target="https://ourworldindata.org/renewable-energy" TargetMode="External"/><Relationship Id="rId39" Type="http://schemas.openxmlformats.org/officeDocument/2006/relationships/hyperlink" Target="https://sustainabledevelopment.un.org/?menu=1300" TargetMode="External"/><Relationship Id="rId21" Type="http://schemas.openxmlformats.org/officeDocument/2006/relationships/hyperlink" Target="https://ourworldindata.org/grapher/solar-pv-prices" TargetMode="External"/><Relationship Id="rId34" Type="http://schemas.openxmlformats.org/officeDocument/2006/relationships/chart" Target="charts/chart11.xml"/><Relationship Id="rId42" Type="http://schemas.openxmlformats.org/officeDocument/2006/relationships/hyperlink" Target="https://www.ga-institute.com/press-releases/article/flash-report-85-of-sp-500-indexR-companies-publish-sustainability-reports-in-2017.html" TargetMode="External"/><Relationship Id="rId47" Type="http://schemas.openxmlformats.org/officeDocument/2006/relationships/hyperlink" Target="https://www.morganstanley.com/ideas/sustainable-investing-growing-interest-and-adoption"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5.xml"/><Relationship Id="rId29" Type="http://schemas.openxmlformats.org/officeDocument/2006/relationships/hyperlink" Target="https://ourworldindata.org/grapher/plastic-waste-by-sector" TargetMode="External"/><Relationship Id="rId11" Type="http://schemas.openxmlformats.org/officeDocument/2006/relationships/image" Target="media/image1.emf"/><Relationship Id="rId24" Type="http://schemas.openxmlformats.org/officeDocument/2006/relationships/hyperlink" Target="https://ourworldindata.org/renewable-energy" TargetMode="External"/><Relationship Id="rId32" Type="http://schemas.openxmlformats.org/officeDocument/2006/relationships/hyperlink" Target="https://www.weforum.org/agenda/2017/12/germany-recycles-more-than-any-other-country/" TargetMode="External"/><Relationship Id="rId37" Type="http://schemas.openxmlformats.org/officeDocument/2006/relationships/image" Target="media/image3.png"/><Relationship Id="rId40" Type="http://schemas.openxmlformats.org/officeDocument/2006/relationships/chart" Target="charts/chart12.xml"/><Relationship Id="rId45" Type="http://schemas.openxmlformats.org/officeDocument/2006/relationships/chart" Target="charts/chart13.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ourworldindata.org/renewable-energy" TargetMode="External"/><Relationship Id="rId28" Type="http://schemas.openxmlformats.org/officeDocument/2006/relationships/chart" Target="charts/chart9.xml"/><Relationship Id="rId36" Type="http://schemas.openxmlformats.org/officeDocument/2006/relationships/hyperlink" Target="https://earthobservatory.nasa.gov/features/GlobalWarming/page2.php" TargetMode="External"/><Relationship Id="rId49"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chart" Target="charts/chart6.xml"/><Relationship Id="rId31" Type="http://schemas.openxmlformats.org/officeDocument/2006/relationships/chart" Target="charts/chart10.xml"/><Relationship Id="rId44" Type="http://schemas.openxmlformats.org/officeDocument/2006/relationships/hyperlink" Target="https://www.ussif.org/sribasics"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s://www.hydropower.org/statusreport" TargetMode="External"/><Relationship Id="rId22" Type="http://schemas.openxmlformats.org/officeDocument/2006/relationships/chart" Target="charts/chart7.xml"/><Relationship Id="rId27" Type="http://schemas.openxmlformats.org/officeDocument/2006/relationships/hyperlink" Target="https://ourworldindata.org/renewable-energy" TargetMode="External"/><Relationship Id="rId30" Type="http://schemas.openxmlformats.org/officeDocument/2006/relationships/hyperlink" Target="https://ourworldindata.org/grapher/plastic-waste-by-sector" TargetMode="External"/><Relationship Id="rId35" Type="http://schemas.openxmlformats.org/officeDocument/2006/relationships/hyperlink" Target="https://earthobservatory.nasa.gov/features/GlobalWarming/page2.php" TargetMode="External"/><Relationship Id="rId43" Type="http://schemas.openxmlformats.org/officeDocument/2006/relationships/hyperlink" Target="https://www.ussif.org/sribasics" TargetMode="External"/><Relationship Id="rId48" Type="http://schemas.openxmlformats.org/officeDocument/2006/relationships/header" Target="header1.xml"/><Relationship Id="rId8" Type="http://schemas.openxmlformats.org/officeDocument/2006/relationships/chart" Target="charts/chart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chart" Target="charts/chart4.xml"/><Relationship Id="rId17" Type="http://schemas.openxmlformats.org/officeDocument/2006/relationships/hyperlink" Target="https://www.irena.org/Statistics/View-Data-by-Topic/Finance-and-Investment/Investment-Trends" TargetMode="External"/><Relationship Id="rId25" Type="http://schemas.openxmlformats.org/officeDocument/2006/relationships/chart" Target="charts/chart8.xml"/><Relationship Id="rId33" Type="http://schemas.openxmlformats.org/officeDocument/2006/relationships/hyperlink" Target="https://www.weforum.org/agenda/2017/12/germany-recycles-more-than-any-other-country/" TargetMode="External"/><Relationship Id="rId38" Type="http://schemas.openxmlformats.org/officeDocument/2006/relationships/hyperlink" Target="https://sustainabledevelopment.un.org/?menu=1300" TargetMode="External"/><Relationship Id="rId46" Type="http://schemas.openxmlformats.org/officeDocument/2006/relationships/hyperlink" Target="https://www.morganstanley.com/ideas/sustainable-investing-growing-interest-and-adoption" TargetMode="External"/><Relationship Id="rId20" Type="http://schemas.openxmlformats.org/officeDocument/2006/relationships/hyperlink" Target="https://ourworldindata.org/grapher/solar-pv-prices" TargetMode="External"/><Relationship Id="rId41" Type="http://schemas.openxmlformats.org/officeDocument/2006/relationships/hyperlink" Target="https://www.ga-institute.com/press-releases/article/flash-report-85-of-sp-500-indexR-companies-publish-sustainability-reports-in-2017.html"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footnotes.xml.rels><?xml version="1.0" encoding="UTF-8" standalone="yes"?>
<Relationships xmlns="http://schemas.openxmlformats.org/package/2006/relationships"><Relationship Id="rId8" Type="http://schemas.openxmlformats.org/officeDocument/2006/relationships/hyperlink" Target="https://www.unwater.org/water-facts/water-food-and-energy/" TargetMode="External"/><Relationship Id="rId13" Type="http://schemas.openxmlformats.org/officeDocument/2006/relationships/hyperlink" Target="https://hbr.org/2019/07/the-elusive-green-consumer" TargetMode="External"/><Relationship Id="rId3" Type="http://schemas.openxmlformats.org/officeDocument/2006/relationships/hyperlink" Target="https://www.irena.org/en/bioenergy" TargetMode="External"/><Relationship Id="rId7" Type="http://schemas.openxmlformats.org/officeDocument/2006/relationships/hyperlink" Target="https://www.morganstanley.com/ideas/the-worlds-water-crisis-and-industries-at-risk" TargetMode="External"/><Relationship Id="rId12" Type="http://schemas.openxmlformats.org/officeDocument/2006/relationships/hyperlink" Target="https://www.morganstanley.com/ideas/sustainable-investing-growing-interest-and-adoption" TargetMode="External"/><Relationship Id="rId2" Type="http://schemas.openxmlformats.org/officeDocument/2006/relationships/hyperlink" Target="https://www.irena.org/solar" TargetMode="External"/><Relationship Id="rId1" Type="http://schemas.openxmlformats.org/officeDocument/2006/relationships/hyperlink" Target="https://www.energy.gov/science-innovation/energy-sources/renewable-energy/solar" TargetMode="External"/><Relationship Id="rId6" Type="http://schemas.openxmlformats.org/officeDocument/2006/relationships/hyperlink" Target="https://cosmosmagazine.com/society/global-plastic-waste-totals-4-9-billion-tonnes" TargetMode="External"/><Relationship Id="rId11" Type="http://schemas.openxmlformats.org/officeDocument/2006/relationships/hyperlink" Target="https://www.stern.nyu.edu/experience-stern/about/departments-centers-initiatives/centers-of-research/center-sustainable-business/research/csb-monetization-methodology" TargetMode="External"/><Relationship Id="rId5" Type="http://schemas.openxmlformats.org/officeDocument/2006/relationships/hyperlink" Target="https://www.energy.gov/eere/geothermal/geothermal-basics" TargetMode="External"/><Relationship Id="rId10" Type="http://schemas.openxmlformats.org/officeDocument/2006/relationships/hyperlink" Target="https://en.wikipedia.org/wiki/Efficient_energy_use" TargetMode="External"/><Relationship Id="rId4" Type="http://schemas.openxmlformats.org/officeDocument/2006/relationships/hyperlink" Target="https://www.thebalance.com/what-is-bioenergy-2941107" TargetMode="External"/><Relationship Id="rId9" Type="http://schemas.openxmlformats.org/officeDocument/2006/relationships/hyperlink" Target="http://definedelectric.com/efficient-energy-us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tomas\Desktop\Eco%20charts.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tomas\Downloads\temperature-anomaly.csv"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tomas\Desktop\Eco%20charts.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tomas\Desktop\Eco%20charts.xlsx" TargetMode="External"/><Relationship Id="rId2" Type="http://schemas.microsoft.com/office/2011/relationships/chartColorStyle" Target="colors13.xml"/><Relationship Id="rId1" Type="http://schemas.microsoft.com/office/2011/relationships/chartStyle" Target="style13.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tomas\Desktop\Eco%20chart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tomas\Desktop\Eco%20chart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tomas\Downloads\solar-pv-prices.csv"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tomas\Downloads\RE_Investment_Trends_2019%20(1).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tomas\Downloads\biofuel-production.csv"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tomas\Downloads\installed-geothermal-capacity.csv"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tomas\Desktop\Eco%20charts.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1"/>
              <a:t>Zielona ekonomia w sektorach</a:t>
            </a:r>
            <a:endParaRPr lang="en-US" sz="1400"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0.50533442694663167"/>
          <c:y val="0.17840206799204095"/>
          <c:w val="0.32544247594050746"/>
          <c:h val="0.50608765157055147"/>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3B4-4769-A39F-49911DCA3171}"/>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3B4-4769-A39F-49911DCA3171}"/>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E3B4-4769-A39F-49911DCA3171}"/>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E3B4-4769-A39F-49911DCA3171}"/>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E3B4-4769-A39F-49911DCA3171}"/>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E3B4-4769-A39F-49911DCA3171}"/>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E3B4-4769-A39F-49911DCA3171}"/>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E3B4-4769-A39F-49911DCA3171}"/>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1-E3B4-4769-A39F-49911DCA3171}"/>
              </c:ext>
            </c:extLst>
          </c:dPt>
          <c:dPt>
            <c:idx val="9"/>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13-E3B4-4769-A39F-49911DCA3171}"/>
              </c:ext>
            </c:extLst>
          </c:dPt>
          <c:dPt>
            <c:idx val="10"/>
            <c:bubble3D val="0"/>
            <c:spPr>
              <a:solidFill>
                <a:schemeClr val="accent5">
                  <a:lumMod val="60000"/>
                </a:schemeClr>
              </a:solidFill>
              <a:ln w="19050">
                <a:solidFill>
                  <a:schemeClr val="lt1"/>
                </a:solidFill>
              </a:ln>
              <a:effectLst/>
            </c:spPr>
            <c:extLst>
              <c:ext xmlns:c16="http://schemas.microsoft.com/office/drawing/2014/chart" uri="{C3380CC4-5D6E-409C-BE32-E72D297353CC}">
                <c16:uniqueId val="{00000015-E3B4-4769-A39F-49911DCA3171}"/>
              </c:ext>
            </c:extLst>
          </c:dPt>
          <c:dLbls>
            <c:dLbl>
              <c:idx val="10"/>
              <c:layout>
                <c:manualLayout>
                  <c:x val="5.0280293088363952E-2"/>
                  <c:y val="-1.4019213368500086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E3B4-4769-A39F-49911DCA317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Sheet1!$A$2:$A$12</c:f>
              <c:strCache>
                <c:ptCount val="11"/>
                <c:pt idx="0">
                  <c:v>Energy management &amp; efficiency</c:v>
                </c:pt>
                <c:pt idx="1">
                  <c:v>Energy generation</c:v>
                </c:pt>
                <c:pt idx="2">
                  <c:v>Food &amp; agriculture</c:v>
                </c:pt>
                <c:pt idx="3">
                  <c:v>Transport equipment</c:v>
                </c:pt>
                <c:pt idx="4">
                  <c:v>Water Infrastructure &amp; technology</c:v>
                </c:pt>
                <c:pt idx="5">
                  <c:v>Energy equipment</c:v>
                </c:pt>
                <c:pt idx="6">
                  <c:v>Waste management &amp; technology</c:v>
                </c:pt>
                <c:pt idx="7">
                  <c:v>Environmental resources</c:v>
                </c:pt>
                <c:pt idx="8">
                  <c:v>Transport solutions</c:v>
                </c:pt>
                <c:pt idx="9">
                  <c:v>Pollution control &amp; prevention</c:v>
                </c:pt>
                <c:pt idx="10">
                  <c:v>Enviornmental support &amp; services</c:v>
                </c:pt>
              </c:strCache>
            </c:strRef>
          </c:cat>
          <c:val>
            <c:numRef>
              <c:f>Sheet1!$B$2:$B$12</c:f>
              <c:numCache>
                <c:formatCode>0%</c:formatCode>
                <c:ptCount val="11"/>
                <c:pt idx="0">
                  <c:v>0.4</c:v>
                </c:pt>
                <c:pt idx="1">
                  <c:v>0.11</c:v>
                </c:pt>
                <c:pt idx="2">
                  <c:v>0.08</c:v>
                </c:pt>
                <c:pt idx="3">
                  <c:v>0.08</c:v>
                </c:pt>
                <c:pt idx="4">
                  <c:v>7.0000000000000007E-2</c:v>
                </c:pt>
                <c:pt idx="5">
                  <c:v>0.06</c:v>
                </c:pt>
                <c:pt idx="6">
                  <c:v>0.05</c:v>
                </c:pt>
                <c:pt idx="7">
                  <c:v>0.05</c:v>
                </c:pt>
                <c:pt idx="8">
                  <c:v>0.04</c:v>
                </c:pt>
                <c:pt idx="9">
                  <c:v>0.03</c:v>
                </c:pt>
                <c:pt idx="10">
                  <c:v>0.02</c:v>
                </c:pt>
              </c:numCache>
            </c:numRef>
          </c:val>
          <c:extLst>
            <c:ext xmlns:c16="http://schemas.microsoft.com/office/drawing/2014/chart" uri="{C3380CC4-5D6E-409C-BE32-E72D297353CC}">
              <c16:uniqueId val="{00000016-E3B4-4769-A39F-49911DCA3171}"/>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7.0078740157480304E-3"/>
          <c:y val="0.15010493018826213"/>
          <c:w val="0.4165398075240595"/>
          <c:h val="0.68142854713355216"/>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b="1"/>
              <a:t>10 najlepszych krajów we wskaźniku</a:t>
            </a:r>
            <a:r>
              <a:rPr lang="pl-PL" b="1" baseline="0"/>
              <a:t> recyklingu</a:t>
            </a:r>
            <a:r>
              <a:rPr lang="pl-PL" b="1"/>
              <a:t>,</a:t>
            </a:r>
            <a:r>
              <a:rPr lang="pl-PL" b="1" baseline="0"/>
              <a:t> 2017</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rgbClr val="00B0F0"/>
            </a:solidFill>
            <a:ln>
              <a:noFill/>
            </a:ln>
            <a:effectLst/>
          </c:spPr>
          <c:invertIfNegative val="0"/>
          <c:cat>
            <c:strRef>
              <c:f>Sheet8!$A$2:$A$11</c:f>
              <c:strCache>
                <c:ptCount val="10"/>
                <c:pt idx="0">
                  <c:v>Germany</c:v>
                </c:pt>
                <c:pt idx="1">
                  <c:v>Austria</c:v>
                </c:pt>
                <c:pt idx="2">
                  <c:v>South Korea</c:v>
                </c:pt>
                <c:pt idx="3">
                  <c:v>Wales</c:v>
                </c:pt>
                <c:pt idx="4">
                  <c:v>Switzerland</c:v>
                </c:pt>
                <c:pt idx="5">
                  <c:v>Italy</c:v>
                </c:pt>
                <c:pt idx="6">
                  <c:v>Belgium</c:v>
                </c:pt>
                <c:pt idx="7">
                  <c:v>Netherlands</c:v>
                </c:pt>
                <c:pt idx="8">
                  <c:v>Slovenia</c:v>
                </c:pt>
                <c:pt idx="9">
                  <c:v>Singapore</c:v>
                </c:pt>
              </c:strCache>
            </c:strRef>
          </c:cat>
          <c:val>
            <c:numRef>
              <c:f>Sheet8!$B$2:$B$11</c:f>
              <c:numCache>
                <c:formatCode>0.00%</c:formatCode>
                <c:ptCount val="10"/>
                <c:pt idx="0">
                  <c:v>0.56100000000000005</c:v>
                </c:pt>
                <c:pt idx="1">
                  <c:v>0.53800000000000003</c:v>
                </c:pt>
                <c:pt idx="2">
                  <c:v>0.53700000000000003</c:v>
                </c:pt>
                <c:pt idx="3">
                  <c:v>0.52200000000000002</c:v>
                </c:pt>
                <c:pt idx="4">
                  <c:v>0.497</c:v>
                </c:pt>
                <c:pt idx="5">
                  <c:v>0.497</c:v>
                </c:pt>
                <c:pt idx="6">
                  <c:v>0.49399999999999999</c:v>
                </c:pt>
                <c:pt idx="7">
                  <c:v>0.46300000000000002</c:v>
                </c:pt>
                <c:pt idx="8">
                  <c:v>0.45800000000000002</c:v>
                </c:pt>
                <c:pt idx="9" formatCode="0%">
                  <c:v>0.34</c:v>
                </c:pt>
              </c:numCache>
            </c:numRef>
          </c:val>
          <c:extLst>
            <c:ext xmlns:c16="http://schemas.microsoft.com/office/drawing/2014/chart" uri="{C3380CC4-5D6E-409C-BE32-E72D297353CC}">
              <c16:uniqueId val="{00000000-E1A3-41BA-B13E-617632E1C60F}"/>
            </c:ext>
          </c:extLst>
        </c:ser>
        <c:dLbls>
          <c:showLegendKey val="0"/>
          <c:showVal val="0"/>
          <c:showCatName val="0"/>
          <c:showSerName val="0"/>
          <c:showPercent val="0"/>
          <c:showBubbleSize val="0"/>
        </c:dLbls>
        <c:gapWidth val="219"/>
        <c:overlap val="-27"/>
        <c:axId val="-1751063424"/>
        <c:axId val="-1751062880"/>
      </c:barChart>
      <c:catAx>
        <c:axId val="-17510634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62880"/>
        <c:crosses val="autoZero"/>
        <c:auto val="1"/>
        <c:lblAlgn val="ctr"/>
        <c:lblOffset val="100"/>
        <c:noMultiLvlLbl val="0"/>
      </c:catAx>
      <c:valAx>
        <c:axId val="-17510628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6342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b="1"/>
              <a:t>Średnia</a:t>
            </a:r>
            <a:r>
              <a:rPr lang="pl-PL" b="1" baseline="0"/>
              <a:t> globalna temperatura powierzchni</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lineChart>
        <c:grouping val="standard"/>
        <c:varyColors val="0"/>
        <c:ser>
          <c:idx val="0"/>
          <c:order val="0"/>
          <c:tx>
            <c:strRef>
              <c:f>'temperature-anomaly'!$I$1</c:f>
              <c:strCache>
                <c:ptCount val="1"/>
                <c:pt idx="0">
                  <c:v>Median</c:v>
                </c:pt>
              </c:strCache>
            </c:strRef>
          </c:tx>
          <c:spPr>
            <a:ln w="28575" cap="rnd">
              <a:solidFill>
                <a:schemeClr val="accent1"/>
              </a:solidFill>
              <a:round/>
            </a:ln>
            <a:effectLst/>
          </c:spPr>
          <c:marker>
            <c:symbol val="none"/>
          </c:marker>
          <c:cat>
            <c:numRef>
              <c:f>'temperature-anomaly'!$H$2:$H$120</c:f>
              <c:numCache>
                <c:formatCode>General</c:formatCode>
                <c:ptCount val="119"/>
                <c:pt idx="0">
                  <c:v>1900</c:v>
                </c:pt>
                <c:pt idx="1">
                  <c:v>1901</c:v>
                </c:pt>
                <c:pt idx="2">
                  <c:v>1902</c:v>
                </c:pt>
                <c:pt idx="3">
                  <c:v>1903</c:v>
                </c:pt>
                <c:pt idx="4">
                  <c:v>1904</c:v>
                </c:pt>
                <c:pt idx="5">
                  <c:v>1905</c:v>
                </c:pt>
                <c:pt idx="6">
                  <c:v>1906</c:v>
                </c:pt>
                <c:pt idx="7">
                  <c:v>1907</c:v>
                </c:pt>
                <c:pt idx="8">
                  <c:v>1908</c:v>
                </c:pt>
                <c:pt idx="9">
                  <c:v>1909</c:v>
                </c:pt>
                <c:pt idx="10">
                  <c:v>1910</c:v>
                </c:pt>
                <c:pt idx="11">
                  <c:v>1911</c:v>
                </c:pt>
                <c:pt idx="12">
                  <c:v>1912</c:v>
                </c:pt>
                <c:pt idx="13">
                  <c:v>1913</c:v>
                </c:pt>
                <c:pt idx="14">
                  <c:v>1914</c:v>
                </c:pt>
                <c:pt idx="15">
                  <c:v>1915</c:v>
                </c:pt>
                <c:pt idx="16">
                  <c:v>1916</c:v>
                </c:pt>
                <c:pt idx="17">
                  <c:v>1917</c:v>
                </c:pt>
                <c:pt idx="18">
                  <c:v>1918</c:v>
                </c:pt>
                <c:pt idx="19">
                  <c:v>1919</c:v>
                </c:pt>
                <c:pt idx="20">
                  <c:v>1920</c:v>
                </c:pt>
                <c:pt idx="21">
                  <c:v>1921</c:v>
                </c:pt>
                <c:pt idx="22">
                  <c:v>1922</c:v>
                </c:pt>
                <c:pt idx="23">
                  <c:v>1923</c:v>
                </c:pt>
                <c:pt idx="24">
                  <c:v>1924</c:v>
                </c:pt>
                <c:pt idx="25">
                  <c:v>1925</c:v>
                </c:pt>
                <c:pt idx="26">
                  <c:v>1926</c:v>
                </c:pt>
                <c:pt idx="27">
                  <c:v>1927</c:v>
                </c:pt>
                <c:pt idx="28">
                  <c:v>1928</c:v>
                </c:pt>
                <c:pt idx="29">
                  <c:v>1929</c:v>
                </c:pt>
                <c:pt idx="30">
                  <c:v>1930</c:v>
                </c:pt>
                <c:pt idx="31">
                  <c:v>1931</c:v>
                </c:pt>
                <c:pt idx="32">
                  <c:v>1932</c:v>
                </c:pt>
                <c:pt idx="33">
                  <c:v>1933</c:v>
                </c:pt>
                <c:pt idx="34">
                  <c:v>1934</c:v>
                </c:pt>
                <c:pt idx="35">
                  <c:v>1935</c:v>
                </c:pt>
                <c:pt idx="36">
                  <c:v>1936</c:v>
                </c:pt>
                <c:pt idx="37">
                  <c:v>1937</c:v>
                </c:pt>
                <c:pt idx="38">
                  <c:v>1938</c:v>
                </c:pt>
                <c:pt idx="39">
                  <c:v>1939</c:v>
                </c:pt>
                <c:pt idx="40">
                  <c:v>1940</c:v>
                </c:pt>
                <c:pt idx="41">
                  <c:v>1941</c:v>
                </c:pt>
                <c:pt idx="42">
                  <c:v>1942</c:v>
                </c:pt>
                <c:pt idx="43">
                  <c:v>1943</c:v>
                </c:pt>
                <c:pt idx="44">
                  <c:v>1944</c:v>
                </c:pt>
                <c:pt idx="45">
                  <c:v>1945</c:v>
                </c:pt>
                <c:pt idx="46">
                  <c:v>1946</c:v>
                </c:pt>
                <c:pt idx="47">
                  <c:v>1947</c:v>
                </c:pt>
                <c:pt idx="48">
                  <c:v>1948</c:v>
                </c:pt>
                <c:pt idx="49">
                  <c:v>1949</c:v>
                </c:pt>
                <c:pt idx="50">
                  <c:v>1950</c:v>
                </c:pt>
                <c:pt idx="51">
                  <c:v>1951</c:v>
                </c:pt>
                <c:pt idx="52">
                  <c:v>1952</c:v>
                </c:pt>
                <c:pt idx="53">
                  <c:v>1953</c:v>
                </c:pt>
                <c:pt idx="54">
                  <c:v>1954</c:v>
                </c:pt>
                <c:pt idx="55">
                  <c:v>1955</c:v>
                </c:pt>
                <c:pt idx="56">
                  <c:v>1956</c:v>
                </c:pt>
                <c:pt idx="57">
                  <c:v>1957</c:v>
                </c:pt>
                <c:pt idx="58">
                  <c:v>1958</c:v>
                </c:pt>
                <c:pt idx="59">
                  <c:v>1959</c:v>
                </c:pt>
                <c:pt idx="60">
                  <c:v>1960</c:v>
                </c:pt>
                <c:pt idx="61">
                  <c:v>1961</c:v>
                </c:pt>
                <c:pt idx="62">
                  <c:v>1962</c:v>
                </c:pt>
                <c:pt idx="63">
                  <c:v>1963</c:v>
                </c:pt>
                <c:pt idx="64">
                  <c:v>1964</c:v>
                </c:pt>
                <c:pt idx="65">
                  <c:v>1965</c:v>
                </c:pt>
                <c:pt idx="66">
                  <c:v>1966</c:v>
                </c:pt>
                <c:pt idx="67">
                  <c:v>1967</c:v>
                </c:pt>
                <c:pt idx="68">
                  <c:v>1968</c:v>
                </c:pt>
                <c:pt idx="69">
                  <c:v>1969</c:v>
                </c:pt>
                <c:pt idx="70">
                  <c:v>1970</c:v>
                </c:pt>
                <c:pt idx="71">
                  <c:v>1971</c:v>
                </c:pt>
                <c:pt idx="72">
                  <c:v>1972</c:v>
                </c:pt>
                <c:pt idx="73">
                  <c:v>1973</c:v>
                </c:pt>
                <c:pt idx="74">
                  <c:v>1974</c:v>
                </c:pt>
                <c:pt idx="75">
                  <c:v>1975</c:v>
                </c:pt>
                <c:pt idx="76">
                  <c:v>1976</c:v>
                </c:pt>
                <c:pt idx="77">
                  <c:v>1977</c:v>
                </c:pt>
                <c:pt idx="78">
                  <c:v>1978</c:v>
                </c:pt>
                <c:pt idx="79">
                  <c:v>1979</c:v>
                </c:pt>
                <c:pt idx="80">
                  <c:v>1980</c:v>
                </c:pt>
                <c:pt idx="81">
                  <c:v>1981</c:v>
                </c:pt>
                <c:pt idx="82">
                  <c:v>1982</c:v>
                </c:pt>
                <c:pt idx="83">
                  <c:v>1983</c:v>
                </c:pt>
                <c:pt idx="84">
                  <c:v>1984</c:v>
                </c:pt>
                <c:pt idx="85">
                  <c:v>1985</c:v>
                </c:pt>
                <c:pt idx="86">
                  <c:v>1986</c:v>
                </c:pt>
                <c:pt idx="87">
                  <c:v>1987</c:v>
                </c:pt>
                <c:pt idx="88">
                  <c:v>1988</c:v>
                </c:pt>
                <c:pt idx="89">
                  <c:v>1989</c:v>
                </c:pt>
                <c:pt idx="90">
                  <c:v>1990</c:v>
                </c:pt>
                <c:pt idx="91">
                  <c:v>1991</c:v>
                </c:pt>
                <c:pt idx="92">
                  <c:v>1992</c:v>
                </c:pt>
                <c:pt idx="93">
                  <c:v>1993</c:v>
                </c:pt>
                <c:pt idx="94">
                  <c:v>1994</c:v>
                </c:pt>
                <c:pt idx="95">
                  <c:v>1995</c:v>
                </c:pt>
                <c:pt idx="96">
                  <c:v>1996</c:v>
                </c:pt>
                <c:pt idx="97">
                  <c:v>1997</c:v>
                </c:pt>
                <c:pt idx="98">
                  <c:v>1998</c:v>
                </c:pt>
                <c:pt idx="99">
                  <c:v>1999</c:v>
                </c:pt>
                <c:pt idx="100">
                  <c:v>2000</c:v>
                </c:pt>
                <c:pt idx="101">
                  <c:v>2001</c:v>
                </c:pt>
                <c:pt idx="102">
                  <c:v>2002</c:v>
                </c:pt>
                <c:pt idx="103">
                  <c:v>2003</c:v>
                </c:pt>
                <c:pt idx="104">
                  <c:v>2004</c:v>
                </c:pt>
                <c:pt idx="105">
                  <c:v>2005</c:v>
                </c:pt>
                <c:pt idx="106">
                  <c:v>2006</c:v>
                </c:pt>
                <c:pt idx="107">
                  <c:v>2007</c:v>
                </c:pt>
                <c:pt idx="108">
                  <c:v>2008</c:v>
                </c:pt>
                <c:pt idx="109">
                  <c:v>2009</c:v>
                </c:pt>
                <c:pt idx="110">
                  <c:v>2010</c:v>
                </c:pt>
                <c:pt idx="111">
                  <c:v>2011</c:v>
                </c:pt>
                <c:pt idx="112">
                  <c:v>2012</c:v>
                </c:pt>
                <c:pt idx="113">
                  <c:v>2013</c:v>
                </c:pt>
                <c:pt idx="114">
                  <c:v>2014</c:v>
                </c:pt>
                <c:pt idx="115">
                  <c:v>2015</c:v>
                </c:pt>
                <c:pt idx="116">
                  <c:v>2016</c:v>
                </c:pt>
                <c:pt idx="117">
                  <c:v>2017</c:v>
                </c:pt>
                <c:pt idx="118">
                  <c:v>2018</c:v>
                </c:pt>
              </c:numCache>
            </c:numRef>
          </c:cat>
          <c:val>
            <c:numRef>
              <c:f>'temperature-anomaly'!$I$2:$I$120</c:f>
              <c:numCache>
                <c:formatCode>General</c:formatCode>
                <c:ptCount val="119"/>
                <c:pt idx="0">
                  <c:v>0.20300000000000001</c:v>
                </c:pt>
                <c:pt idx="1">
                  <c:v>0.25900000000000001</c:v>
                </c:pt>
                <c:pt idx="2">
                  <c:v>0.40200000000000002</c:v>
                </c:pt>
                <c:pt idx="3">
                  <c:v>0.47899999999999998</c:v>
                </c:pt>
                <c:pt idx="4">
                  <c:v>0.52</c:v>
                </c:pt>
                <c:pt idx="5">
                  <c:v>0.377</c:v>
                </c:pt>
                <c:pt idx="6">
                  <c:v>0.28299999999999997</c:v>
                </c:pt>
                <c:pt idx="7">
                  <c:v>0.46500000000000002</c:v>
                </c:pt>
                <c:pt idx="8">
                  <c:v>0.51100000000000001</c:v>
                </c:pt>
                <c:pt idx="9">
                  <c:v>0.52200000000000002</c:v>
                </c:pt>
                <c:pt idx="10">
                  <c:v>0.49</c:v>
                </c:pt>
                <c:pt idx="11">
                  <c:v>0.54400000000000004</c:v>
                </c:pt>
                <c:pt idx="12">
                  <c:v>0.437</c:v>
                </c:pt>
                <c:pt idx="13">
                  <c:v>0.42399999999999999</c:v>
                </c:pt>
                <c:pt idx="14">
                  <c:v>0.24399999999999999</c:v>
                </c:pt>
                <c:pt idx="15">
                  <c:v>0.14099999999999999</c:v>
                </c:pt>
                <c:pt idx="16">
                  <c:v>0.38300000000000001</c:v>
                </c:pt>
                <c:pt idx="17">
                  <c:v>0.46800000000000003</c:v>
                </c:pt>
                <c:pt idx="18">
                  <c:v>0.33300000000000002</c:v>
                </c:pt>
                <c:pt idx="19">
                  <c:v>0.27500000000000002</c:v>
                </c:pt>
                <c:pt idx="20">
                  <c:v>0.247</c:v>
                </c:pt>
                <c:pt idx="21">
                  <c:v>0.187</c:v>
                </c:pt>
                <c:pt idx="22">
                  <c:v>0.30199999999999999</c:v>
                </c:pt>
                <c:pt idx="23">
                  <c:v>0.27600000000000002</c:v>
                </c:pt>
                <c:pt idx="24">
                  <c:v>0.29399999999999998</c:v>
                </c:pt>
                <c:pt idx="25">
                  <c:v>0.215</c:v>
                </c:pt>
                <c:pt idx="26">
                  <c:v>0.108</c:v>
                </c:pt>
                <c:pt idx="27">
                  <c:v>0.21</c:v>
                </c:pt>
                <c:pt idx="28">
                  <c:v>0.20599999999999999</c:v>
                </c:pt>
                <c:pt idx="29">
                  <c:v>0.35</c:v>
                </c:pt>
                <c:pt idx="30">
                  <c:v>0.13700000000000001</c:v>
                </c:pt>
                <c:pt idx="31">
                  <c:v>8.6999999999999994E-2</c:v>
                </c:pt>
                <c:pt idx="32">
                  <c:v>0.13700000000000001</c:v>
                </c:pt>
                <c:pt idx="33">
                  <c:v>0.27300000000000002</c:v>
                </c:pt>
                <c:pt idx="34">
                  <c:v>0.13100000000000001</c:v>
                </c:pt>
                <c:pt idx="35">
                  <c:v>0.17799999999999999</c:v>
                </c:pt>
                <c:pt idx="36">
                  <c:v>0.14699999999999999</c:v>
                </c:pt>
                <c:pt idx="37">
                  <c:v>2.5999999999999999E-2</c:v>
                </c:pt>
                <c:pt idx="38">
                  <c:v>6.0000000000000001E-3</c:v>
                </c:pt>
                <c:pt idx="39">
                  <c:v>5.1999999999999998E-2</c:v>
                </c:pt>
                <c:pt idx="40">
                  <c:v>1.4E-2</c:v>
                </c:pt>
                <c:pt idx="41">
                  <c:v>0.02</c:v>
                </c:pt>
                <c:pt idx="42">
                  <c:v>2.7E-2</c:v>
                </c:pt>
                <c:pt idx="43">
                  <c:v>4.0000000000000001E-3</c:v>
                </c:pt>
                <c:pt idx="44">
                  <c:v>0.14399999999999999</c:v>
                </c:pt>
                <c:pt idx="45">
                  <c:v>2.5000000000000001E-2</c:v>
                </c:pt>
                <c:pt idx="46">
                  <c:v>7.0999999999999994E-2</c:v>
                </c:pt>
                <c:pt idx="47">
                  <c:v>3.7999999999999999E-2</c:v>
                </c:pt>
                <c:pt idx="48">
                  <c:v>3.9E-2</c:v>
                </c:pt>
                <c:pt idx="49">
                  <c:v>7.3999999999999996E-2</c:v>
                </c:pt>
                <c:pt idx="50">
                  <c:v>0.17299999999999999</c:v>
                </c:pt>
                <c:pt idx="51">
                  <c:v>5.1999999999999998E-2</c:v>
                </c:pt>
                <c:pt idx="52">
                  <c:v>2.8000000000000001E-2</c:v>
                </c:pt>
                <c:pt idx="53">
                  <c:v>9.7000000000000003E-2</c:v>
                </c:pt>
                <c:pt idx="54">
                  <c:v>0.129</c:v>
                </c:pt>
                <c:pt idx="55">
                  <c:v>0.19</c:v>
                </c:pt>
                <c:pt idx="56">
                  <c:v>0.26700000000000002</c:v>
                </c:pt>
                <c:pt idx="57">
                  <c:v>7.0000000000000001E-3</c:v>
                </c:pt>
                <c:pt idx="58">
                  <c:v>4.5999999999999999E-2</c:v>
                </c:pt>
                <c:pt idx="59">
                  <c:v>1.7000000000000001E-2</c:v>
                </c:pt>
                <c:pt idx="60">
                  <c:v>4.9000000000000002E-2</c:v>
                </c:pt>
                <c:pt idx="61">
                  <c:v>3.7999999999999999E-2</c:v>
                </c:pt>
                <c:pt idx="62">
                  <c:v>1.4E-2</c:v>
                </c:pt>
                <c:pt idx="63">
                  <c:v>4.8000000000000001E-2</c:v>
                </c:pt>
                <c:pt idx="64">
                  <c:v>0.223</c:v>
                </c:pt>
                <c:pt idx="65">
                  <c:v>0.14000000000000001</c:v>
                </c:pt>
                <c:pt idx="66">
                  <c:v>6.8000000000000005E-2</c:v>
                </c:pt>
                <c:pt idx="67">
                  <c:v>7.3999999999999996E-2</c:v>
                </c:pt>
                <c:pt idx="68">
                  <c:v>0.113</c:v>
                </c:pt>
                <c:pt idx="69">
                  <c:v>3.2000000000000001E-2</c:v>
                </c:pt>
                <c:pt idx="70">
                  <c:v>2.7E-2</c:v>
                </c:pt>
                <c:pt idx="71">
                  <c:v>0.186</c:v>
                </c:pt>
                <c:pt idx="72">
                  <c:v>6.5000000000000002E-2</c:v>
                </c:pt>
                <c:pt idx="73">
                  <c:v>6.2E-2</c:v>
                </c:pt>
                <c:pt idx="74">
                  <c:v>0.214</c:v>
                </c:pt>
                <c:pt idx="75">
                  <c:v>0.14899999999999999</c:v>
                </c:pt>
                <c:pt idx="76">
                  <c:v>0.24099999999999999</c:v>
                </c:pt>
                <c:pt idx="77">
                  <c:v>4.7E-2</c:v>
                </c:pt>
                <c:pt idx="78">
                  <c:v>6.2E-2</c:v>
                </c:pt>
                <c:pt idx="79">
                  <c:v>5.7000000000000002E-2</c:v>
                </c:pt>
                <c:pt idx="80">
                  <c:v>9.1999999999999998E-2</c:v>
                </c:pt>
                <c:pt idx="81">
                  <c:v>0.14000000000000001</c:v>
                </c:pt>
                <c:pt idx="82">
                  <c:v>1.0999999999999999E-2</c:v>
                </c:pt>
                <c:pt idx="83">
                  <c:v>0.19400000000000001</c:v>
                </c:pt>
                <c:pt idx="84">
                  <c:v>1.4E-2</c:v>
                </c:pt>
                <c:pt idx="85">
                  <c:v>0.03</c:v>
                </c:pt>
                <c:pt idx="86">
                  <c:v>4.4999999999999998E-2</c:v>
                </c:pt>
                <c:pt idx="87">
                  <c:v>0.192</c:v>
                </c:pt>
                <c:pt idx="88">
                  <c:v>0.19800000000000001</c:v>
                </c:pt>
                <c:pt idx="89">
                  <c:v>0.11799999999999999</c:v>
                </c:pt>
                <c:pt idx="90">
                  <c:v>0.29599999999999999</c:v>
                </c:pt>
                <c:pt idx="91">
                  <c:v>0.254</c:v>
                </c:pt>
                <c:pt idx="92">
                  <c:v>0.105</c:v>
                </c:pt>
                <c:pt idx="93">
                  <c:v>0.14799999999999999</c:v>
                </c:pt>
                <c:pt idx="94">
                  <c:v>0.20799999999999999</c:v>
                </c:pt>
                <c:pt idx="95">
                  <c:v>0.32500000000000001</c:v>
                </c:pt>
                <c:pt idx="96">
                  <c:v>0.183</c:v>
                </c:pt>
                <c:pt idx="97">
                  <c:v>0.39</c:v>
                </c:pt>
                <c:pt idx="98">
                  <c:v>0.53900000000000003</c:v>
                </c:pt>
                <c:pt idx="99">
                  <c:v>0.30599999999999999</c:v>
                </c:pt>
                <c:pt idx="100">
                  <c:v>0.29399999999999998</c:v>
                </c:pt>
                <c:pt idx="101">
                  <c:v>0.441</c:v>
                </c:pt>
                <c:pt idx="102">
                  <c:v>0.496</c:v>
                </c:pt>
                <c:pt idx="103">
                  <c:v>0.505</c:v>
                </c:pt>
                <c:pt idx="104">
                  <c:v>0.44700000000000001</c:v>
                </c:pt>
                <c:pt idx="105">
                  <c:v>0.54500000000000004</c:v>
                </c:pt>
                <c:pt idx="106">
                  <c:v>0.50600000000000001</c:v>
                </c:pt>
                <c:pt idx="107">
                  <c:v>0.49099999999999999</c:v>
                </c:pt>
                <c:pt idx="108">
                  <c:v>0.39500000000000002</c:v>
                </c:pt>
                <c:pt idx="109">
                  <c:v>0.50600000000000001</c:v>
                </c:pt>
                <c:pt idx="110">
                  <c:v>0.56000000000000005</c:v>
                </c:pt>
                <c:pt idx="111">
                  <c:v>0.42499999999999999</c:v>
                </c:pt>
                <c:pt idx="112">
                  <c:v>0.47</c:v>
                </c:pt>
                <c:pt idx="113">
                  <c:v>0.51400000000000001</c:v>
                </c:pt>
                <c:pt idx="114">
                  <c:v>0.57899999999999996</c:v>
                </c:pt>
                <c:pt idx="115">
                  <c:v>0.76300000000000001</c:v>
                </c:pt>
                <c:pt idx="116">
                  <c:v>0.79700000000000004</c:v>
                </c:pt>
                <c:pt idx="117">
                  <c:v>0.67700000000000005</c:v>
                </c:pt>
                <c:pt idx="118">
                  <c:v>0.59499999999999997</c:v>
                </c:pt>
              </c:numCache>
            </c:numRef>
          </c:val>
          <c:smooth val="0"/>
          <c:extLst>
            <c:ext xmlns:c16="http://schemas.microsoft.com/office/drawing/2014/chart" uri="{C3380CC4-5D6E-409C-BE32-E72D297353CC}">
              <c16:uniqueId val="{00000000-A154-4824-9375-B579DDCAC9B3}"/>
            </c:ext>
          </c:extLst>
        </c:ser>
        <c:ser>
          <c:idx val="1"/>
          <c:order val="1"/>
          <c:tx>
            <c:strRef>
              <c:f>'temperature-anomaly'!$J$1</c:f>
              <c:strCache>
                <c:ptCount val="1"/>
                <c:pt idx="0">
                  <c:v>Upper </c:v>
                </c:pt>
              </c:strCache>
            </c:strRef>
          </c:tx>
          <c:spPr>
            <a:ln w="12700" cap="rnd">
              <a:solidFill>
                <a:schemeClr val="accent2"/>
              </a:solidFill>
              <a:round/>
            </a:ln>
            <a:effectLst/>
          </c:spPr>
          <c:marker>
            <c:symbol val="none"/>
          </c:marker>
          <c:cat>
            <c:numRef>
              <c:f>'temperature-anomaly'!$H$2:$H$120</c:f>
              <c:numCache>
                <c:formatCode>General</c:formatCode>
                <c:ptCount val="119"/>
                <c:pt idx="0">
                  <c:v>1900</c:v>
                </c:pt>
                <c:pt idx="1">
                  <c:v>1901</c:v>
                </c:pt>
                <c:pt idx="2">
                  <c:v>1902</c:v>
                </c:pt>
                <c:pt idx="3">
                  <c:v>1903</c:v>
                </c:pt>
                <c:pt idx="4">
                  <c:v>1904</c:v>
                </c:pt>
                <c:pt idx="5">
                  <c:v>1905</c:v>
                </c:pt>
                <c:pt idx="6">
                  <c:v>1906</c:v>
                </c:pt>
                <c:pt idx="7">
                  <c:v>1907</c:v>
                </c:pt>
                <c:pt idx="8">
                  <c:v>1908</c:v>
                </c:pt>
                <c:pt idx="9">
                  <c:v>1909</c:v>
                </c:pt>
                <c:pt idx="10">
                  <c:v>1910</c:v>
                </c:pt>
                <c:pt idx="11">
                  <c:v>1911</c:v>
                </c:pt>
                <c:pt idx="12">
                  <c:v>1912</c:v>
                </c:pt>
                <c:pt idx="13">
                  <c:v>1913</c:v>
                </c:pt>
                <c:pt idx="14">
                  <c:v>1914</c:v>
                </c:pt>
                <c:pt idx="15">
                  <c:v>1915</c:v>
                </c:pt>
                <c:pt idx="16">
                  <c:v>1916</c:v>
                </c:pt>
                <c:pt idx="17">
                  <c:v>1917</c:v>
                </c:pt>
                <c:pt idx="18">
                  <c:v>1918</c:v>
                </c:pt>
                <c:pt idx="19">
                  <c:v>1919</c:v>
                </c:pt>
                <c:pt idx="20">
                  <c:v>1920</c:v>
                </c:pt>
                <c:pt idx="21">
                  <c:v>1921</c:v>
                </c:pt>
                <c:pt idx="22">
                  <c:v>1922</c:v>
                </c:pt>
                <c:pt idx="23">
                  <c:v>1923</c:v>
                </c:pt>
                <c:pt idx="24">
                  <c:v>1924</c:v>
                </c:pt>
                <c:pt idx="25">
                  <c:v>1925</c:v>
                </c:pt>
                <c:pt idx="26">
                  <c:v>1926</c:v>
                </c:pt>
                <c:pt idx="27">
                  <c:v>1927</c:v>
                </c:pt>
                <c:pt idx="28">
                  <c:v>1928</c:v>
                </c:pt>
                <c:pt idx="29">
                  <c:v>1929</c:v>
                </c:pt>
                <c:pt idx="30">
                  <c:v>1930</c:v>
                </c:pt>
                <c:pt idx="31">
                  <c:v>1931</c:v>
                </c:pt>
                <c:pt idx="32">
                  <c:v>1932</c:v>
                </c:pt>
                <c:pt idx="33">
                  <c:v>1933</c:v>
                </c:pt>
                <c:pt idx="34">
                  <c:v>1934</c:v>
                </c:pt>
                <c:pt idx="35">
                  <c:v>1935</c:v>
                </c:pt>
                <c:pt idx="36">
                  <c:v>1936</c:v>
                </c:pt>
                <c:pt idx="37">
                  <c:v>1937</c:v>
                </c:pt>
                <c:pt idx="38">
                  <c:v>1938</c:v>
                </c:pt>
                <c:pt idx="39">
                  <c:v>1939</c:v>
                </c:pt>
                <c:pt idx="40">
                  <c:v>1940</c:v>
                </c:pt>
                <c:pt idx="41">
                  <c:v>1941</c:v>
                </c:pt>
                <c:pt idx="42">
                  <c:v>1942</c:v>
                </c:pt>
                <c:pt idx="43">
                  <c:v>1943</c:v>
                </c:pt>
                <c:pt idx="44">
                  <c:v>1944</c:v>
                </c:pt>
                <c:pt idx="45">
                  <c:v>1945</c:v>
                </c:pt>
                <c:pt idx="46">
                  <c:v>1946</c:v>
                </c:pt>
                <c:pt idx="47">
                  <c:v>1947</c:v>
                </c:pt>
                <c:pt idx="48">
                  <c:v>1948</c:v>
                </c:pt>
                <c:pt idx="49">
                  <c:v>1949</c:v>
                </c:pt>
                <c:pt idx="50">
                  <c:v>1950</c:v>
                </c:pt>
                <c:pt idx="51">
                  <c:v>1951</c:v>
                </c:pt>
                <c:pt idx="52">
                  <c:v>1952</c:v>
                </c:pt>
                <c:pt idx="53">
                  <c:v>1953</c:v>
                </c:pt>
                <c:pt idx="54">
                  <c:v>1954</c:v>
                </c:pt>
                <c:pt idx="55">
                  <c:v>1955</c:v>
                </c:pt>
                <c:pt idx="56">
                  <c:v>1956</c:v>
                </c:pt>
                <c:pt idx="57">
                  <c:v>1957</c:v>
                </c:pt>
                <c:pt idx="58">
                  <c:v>1958</c:v>
                </c:pt>
                <c:pt idx="59">
                  <c:v>1959</c:v>
                </c:pt>
                <c:pt idx="60">
                  <c:v>1960</c:v>
                </c:pt>
                <c:pt idx="61">
                  <c:v>1961</c:v>
                </c:pt>
                <c:pt idx="62">
                  <c:v>1962</c:v>
                </c:pt>
                <c:pt idx="63">
                  <c:v>1963</c:v>
                </c:pt>
                <c:pt idx="64">
                  <c:v>1964</c:v>
                </c:pt>
                <c:pt idx="65">
                  <c:v>1965</c:v>
                </c:pt>
                <c:pt idx="66">
                  <c:v>1966</c:v>
                </c:pt>
                <c:pt idx="67">
                  <c:v>1967</c:v>
                </c:pt>
                <c:pt idx="68">
                  <c:v>1968</c:v>
                </c:pt>
                <c:pt idx="69">
                  <c:v>1969</c:v>
                </c:pt>
                <c:pt idx="70">
                  <c:v>1970</c:v>
                </c:pt>
                <c:pt idx="71">
                  <c:v>1971</c:v>
                </c:pt>
                <c:pt idx="72">
                  <c:v>1972</c:v>
                </c:pt>
                <c:pt idx="73">
                  <c:v>1973</c:v>
                </c:pt>
                <c:pt idx="74">
                  <c:v>1974</c:v>
                </c:pt>
                <c:pt idx="75">
                  <c:v>1975</c:v>
                </c:pt>
                <c:pt idx="76">
                  <c:v>1976</c:v>
                </c:pt>
                <c:pt idx="77">
                  <c:v>1977</c:v>
                </c:pt>
                <c:pt idx="78">
                  <c:v>1978</c:v>
                </c:pt>
                <c:pt idx="79">
                  <c:v>1979</c:v>
                </c:pt>
                <c:pt idx="80">
                  <c:v>1980</c:v>
                </c:pt>
                <c:pt idx="81">
                  <c:v>1981</c:v>
                </c:pt>
                <c:pt idx="82">
                  <c:v>1982</c:v>
                </c:pt>
                <c:pt idx="83">
                  <c:v>1983</c:v>
                </c:pt>
                <c:pt idx="84">
                  <c:v>1984</c:v>
                </c:pt>
                <c:pt idx="85">
                  <c:v>1985</c:v>
                </c:pt>
                <c:pt idx="86">
                  <c:v>1986</c:v>
                </c:pt>
                <c:pt idx="87">
                  <c:v>1987</c:v>
                </c:pt>
                <c:pt idx="88">
                  <c:v>1988</c:v>
                </c:pt>
                <c:pt idx="89">
                  <c:v>1989</c:v>
                </c:pt>
                <c:pt idx="90">
                  <c:v>1990</c:v>
                </c:pt>
                <c:pt idx="91">
                  <c:v>1991</c:v>
                </c:pt>
                <c:pt idx="92">
                  <c:v>1992</c:v>
                </c:pt>
                <c:pt idx="93">
                  <c:v>1993</c:v>
                </c:pt>
                <c:pt idx="94">
                  <c:v>1994</c:v>
                </c:pt>
                <c:pt idx="95">
                  <c:v>1995</c:v>
                </c:pt>
                <c:pt idx="96">
                  <c:v>1996</c:v>
                </c:pt>
                <c:pt idx="97">
                  <c:v>1997</c:v>
                </c:pt>
                <c:pt idx="98">
                  <c:v>1998</c:v>
                </c:pt>
                <c:pt idx="99">
                  <c:v>1999</c:v>
                </c:pt>
                <c:pt idx="100">
                  <c:v>2000</c:v>
                </c:pt>
                <c:pt idx="101">
                  <c:v>2001</c:v>
                </c:pt>
                <c:pt idx="102">
                  <c:v>2002</c:v>
                </c:pt>
                <c:pt idx="103">
                  <c:v>2003</c:v>
                </c:pt>
                <c:pt idx="104">
                  <c:v>2004</c:v>
                </c:pt>
                <c:pt idx="105">
                  <c:v>2005</c:v>
                </c:pt>
                <c:pt idx="106">
                  <c:v>2006</c:v>
                </c:pt>
                <c:pt idx="107">
                  <c:v>2007</c:v>
                </c:pt>
                <c:pt idx="108">
                  <c:v>2008</c:v>
                </c:pt>
                <c:pt idx="109">
                  <c:v>2009</c:v>
                </c:pt>
                <c:pt idx="110">
                  <c:v>2010</c:v>
                </c:pt>
                <c:pt idx="111">
                  <c:v>2011</c:v>
                </c:pt>
                <c:pt idx="112">
                  <c:v>2012</c:v>
                </c:pt>
                <c:pt idx="113">
                  <c:v>2013</c:v>
                </c:pt>
                <c:pt idx="114">
                  <c:v>2014</c:v>
                </c:pt>
                <c:pt idx="115">
                  <c:v>2015</c:v>
                </c:pt>
                <c:pt idx="116">
                  <c:v>2016</c:v>
                </c:pt>
                <c:pt idx="117">
                  <c:v>2017</c:v>
                </c:pt>
                <c:pt idx="118">
                  <c:v>2018</c:v>
                </c:pt>
              </c:numCache>
            </c:numRef>
          </c:cat>
          <c:val>
            <c:numRef>
              <c:f>'temperature-anomaly'!$J$2:$J$120</c:f>
              <c:numCache>
                <c:formatCode>General</c:formatCode>
                <c:ptCount val="119"/>
                <c:pt idx="0">
                  <c:v>0.14699999999999999</c:v>
                </c:pt>
                <c:pt idx="1">
                  <c:v>0.20799999999999999</c:v>
                </c:pt>
                <c:pt idx="2">
                  <c:v>0.35499999999999998</c:v>
                </c:pt>
                <c:pt idx="3">
                  <c:v>0.43099999999999999</c:v>
                </c:pt>
                <c:pt idx="4">
                  <c:v>0.47099999999999997</c:v>
                </c:pt>
                <c:pt idx="5">
                  <c:v>0.32600000000000001</c:v>
                </c:pt>
                <c:pt idx="6">
                  <c:v>0.23200000000000001</c:v>
                </c:pt>
                <c:pt idx="7">
                  <c:v>0.42299999999999999</c:v>
                </c:pt>
                <c:pt idx="8">
                  <c:v>0.46800000000000003</c:v>
                </c:pt>
                <c:pt idx="9">
                  <c:v>0.47599999999999998</c:v>
                </c:pt>
                <c:pt idx="10">
                  <c:v>0.44800000000000001</c:v>
                </c:pt>
                <c:pt idx="11">
                  <c:v>0.498</c:v>
                </c:pt>
                <c:pt idx="12">
                  <c:v>0.39200000000000002</c:v>
                </c:pt>
                <c:pt idx="13">
                  <c:v>0.38100000000000001</c:v>
                </c:pt>
                <c:pt idx="14">
                  <c:v>0.19700000000000001</c:v>
                </c:pt>
                <c:pt idx="15">
                  <c:v>8.5000000000000006E-2</c:v>
                </c:pt>
                <c:pt idx="16">
                  <c:v>0.32800000000000001</c:v>
                </c:pt>
                <c:pt idx="17">
                  <c:v>0.41299999999999998</c:v>
                </c:pt>
                <c:pt idx="18">
                  <c:v>0.27</c:v>
                </c:pt>
                <c:pt idx="19">
                  <c:v>0.217</c:v>
                </c:pt>
                <c:pt idx="20">
                  <c:v>0.19800000000000001</c:v>
                </c:pt>
                <c:pt idx="21">
                  <c:v>0.14899999999999999</c:v>
                </c:pt>
                <c:pt idx="22">
                  <c:v>0.26200000000000001</c:v>
                </c:pt>
                <c:pt idx="23">
                  <c:v>0.23699999999999999</c:v>
                </c:pt>
                <c:pt idx="24">
                  <c:v>0.25900000000000001</c:v>
                </c:pt>
                <c:pt idx="25">
                  <c:v>0.17799999999999999</c:v>
                </c:pt>
                <c:pt idx="26">
                  <c:v>7.0000000000000007E-2</c:v>
                </c:pt>
                <c:pt idx="27">
                  <c:v>0.17699999999999999</c:v>
                </c:pt>
                <c:pt idx="28">
                  <c:v>0.17399999999999999</c:v>
                </c:pt>
                <c:pt idx="29">
                  <c:v>0.32</c:v>
                </c:pt>
                <c:pt idx="30">
                  <c:v>0.104</c:v>
                </c:pt>
                <c:pt idx="31">
                  <c:v>5.5E-2</c:v>
                </c:pt>
                <c:pt idx="32">
                  <c:v>0.107</c:v>
                </c:pt>
                <c:pt idx="33">
                  <c:v>0.24</c:v>
                </c:pt>
                <c:pt idx="34">
                  <c:v>0.1</c:v>
                </c:pt>
                <c:pt idx="35">
                  <c:v>0.15</c:v>
                </c:pt>
                <c:pt idx="36">
                  <c:v>0.12</c:v>
                </c:pt>
                <c:pt idx="37">
                  <c:v>1E-3</c:v>
                </c:pt>
                <c:pt idx="38">
                  <c:v>1.7000000000000001E-2</c:v>
                </c:pt>
                <c:pt idx="39">
                  <c:v>2.9000000000000001E-2</c:v>
                </c:pt>
                <c:pt idx="40">
                  <c:v>4.4999999999999998E-2</c:v>
                </c:pt>
                <c:pt idx="41">
                  <c:v>5.2999999999999999E-2</c:v>
                </c:pt>
                <c:pt idx="42">
                  <c:v>1.4999999999999999E-2</c:v>
                </c:pt>
                <c:pt idx="43">
                  <c:v>3.5999999999999997E-2</c:v>
                </c:pt>
                <c:pt idx="44">
                  <c:v>0.18</c:v>
                </c:pt>
                <c:pt idx="45">
                  <c:v>5.8999999999999997E-2</c:v>
                </c:pt>
                <c:pt idx="46">
                  <c:v>4.2000000000000003E-2</c:v>
                </c:pt>
                <c:pt idx="47">
                  <c:v>1E-3</c:v>
                </c:pt>
                <c:pt idx="48">
                  <c:v>0</c:v>
                </c:pt>
                <c:pt idx="49">
                  <c:v>3.5999999999999997E-2</c:v>
                </c:pt>
                <c:pt idx="50">
                  <c:v>0.13500000000000001</c:v>
                </c:pt>
                <c:pt idx="51">
                  <c:v>1.7999999999999999E-2</c:v>
                </c:pt>
                <c:pt idx="52">
                  <c:v>6.3E-2</c:v>
                </c:pt>
                <c:pt idx="53">
                  <c:v>0.13200000000000001</c:v>
                </c:pt>
                <c:pt idx="54">
                  <c:v>9.2999999999999999E-2</c:v>
                </c:pt>
                <c:pt idx="55">
                  <c:v>0.16</c:v>
                </c:pt>
                <c:pt idx="56">
                  <c:v>0.23599999999999999</c:v>
                </c:pt>
                <c:pt idx="57">
                  <c:v>2.4E-2</c:v>
                </c:pt>
                <c:pt idx="58">
                  <c:v>7.4999999999999997E-2</c:v>
                </c:pt>
                <c:pt idx="59">
                  <c:v>4.2999999999999997E-2</c:v>
                </c:pt>
                <c:pt idx="60">
                  <c:v>2.3E-2</c:v>
                </c:pt>
                <c:pt idx="61">
                  <c:v>0.06</c:v>
                </c:pt>
                <c:pt idx="62">
                  <c:v>3.4000000000000002E-2</c:v>
                </c:pt>
                <c:pt idx="63">
                  <c:v>7.3999999999999996E-2</c:v>
                </c:pt>
                <c:pt idx="64">
                  <c:v>0.19700000000000001</c:v>
                </c:pt>
                <c:pt idx="65">
                  <c:v>0.113</c:v>
                </c:pt>
                <c:pt idx="66">
                  <c:v>4.2000000000000003E-2</c:v>
                </c:pt>
                <c:pt idx="67">
                  <c:v>5.1999999999999998E-2</c:v>
                </c:pt>
                <c:pt idx="68">
                  <c:v>9.7000000000000003E-2</c:v>
                </c:pt>
                <c:pt idx="69">
                  <c:v>0.05</c:v>
                </c:pt>
                <c:pt idx="70">
                  <c:v>8.9999999999999993E-3</c:v>
                </c:pt>
                <c:pt idx="71">
                  <c:v>0.16300000000000001</c:v>
                </c:pt>
                <c:pt idx="72">
                  <c:v>0.04</c:v>
                </c:pt>
                <c:pt idx="73">
                  <c:v>8.2000000000000003E-2</c:v>
                </c:pt>
                <c:pt idx="74">
                  <c:v>0.19700000000000001</c:v>
                </c:pt>
                <c:pt idx="75">
                  <c:v>0.13400000000000001</c:v>
                </c:pt>
                <c:pt idx="76">
                  <c:v>0.22700000000000001</c:v>
                </c:pt>
                <c:pt idx="77">
                  <c:v>6.4000000000000001E-2</c:v>
                </c:pt>
                <c:pt idx="78">
                  <c:v>4.3999999999999997E-2</c:v>
                </c:pt>
                <c:pt idx="79">
                  <c:v>7.5999999999999998E-2</c:v>
                </c:pt>
                <c:pt idx="80">
                  <c:v>0.107</c:v>
                </c:pt>
                <c:pt idx="81">
                  <c:v>0.153</c:v>
                </c:pt>
                <c:pt idx="82">
                  <c:v>0.03</c:v>
                </c:pt>
                <c:pt idx="83">
                  <c:v>0.21099999999999999</c:v>
                </c:pt>
                <c:pt idx="84">
                  <c:v>6.0000000000000001E-3</c:v>
                </c:pt>
                <c:pt idx="85">
                  <c:v>1.2999999999999999E-2</c:v>
                </c:pt>
                <c:pt idx="86">
                  <c:v>6.7000000000000004E-2</c:v>
                </c:pt>
                <c:pt idx="87">
                  <c:v>0.22</c:v>
                </c:pt>
                <c:pt idx="88">
                  <c:v>0.221</c:v>
                </c:pt>
                <c:pt idx="89">
                  <c:v>0.14699999999999999</c:v>
                </c:pt>
                <c:pt idx="90">
                  <c:v>0.33</c:v>
                </c:pt>
                <c:pt idx="91">
                  <c:v>0.28899999999999998</c:v>
                </c:pt>
                <c:pt idx="92">
                  <c:v>0.13900000000000001</c:v>
                </c:pt>
                <c:pt idx="93">
                  <c:v>0.186</c:v>
                </c:pt>
                <c:pt idx="94">
                  <c:v>0.247</c:v>
                </c:pt>
                <c:pt idx="95">
                  <c:v>0.36099999999999999</c:v>
                </c:pt>
                <c:pt idx="96">
                  <c:v>0.217</c:v>
                </c:pt>
                <c:pt idx="97">
                  <c:v>0.42499999999999999</c:v>
                </c:pt>
                <c:pt idx="98">
                  <c:v>0.57799999999999996</c:v>
                </c:pt>
                <c:pt idx="99">
                  <c:v>0.34300000000000003</c:v>
                </c:pt>
                <c:pt idx="100">
                  <c:v>0.33800000000000002</c:v>
                </c:pt>
                <c:pt idx="101">
                  <c:v>0.48299999999999998</c:v>
                </c:pt>
                <c:pt idx="102">
                  <c:v>0.53800000000000003</c:v>
                </c:pt>
                <c:pt idx="103">
                  <c:v>0.54600000000000004</c:v>
                </c:pt>
                <c:pt idx="104">
                  <c:v>0.48299999999999998</c:v>
                </c:pt>
                <c:pt idx="105">
                  <c:v>0.58299999999999996</c:v>
                </c:pt>
                <c:pt idx="106">
                  <c:v>0.54400000000000004</c:v>
                </c:pt>
                <c:pt idx="107">
                  <c:v>0.53100000000000003</c:v>
                </c:pt>
                <c:pt idx="108">
                  <c:v>0.432</c:v>
                </c:pt>
                <c:pt idx="109">
                  <c:v>0.54600000000000004</c:v>
                </c:pt>
                <c:pt idx="110">
                  <c:v>0.60299999999999998</c:v>
                </c:pt>
                <c:pt idx="111">
                  <c:v>0.46600000000000003</c:v>
                </c:pt>
                <c:pt idx="112">
                  <c:v>0.50900000000000001</c:v>
                </c:pt>
                <c:pt idx="113">
                  <c:v>0.55200000000000005</c:v>
                </c:pt>
                <c:pt idx="114">
                  <c:v>0.61599999999999999</c:v>
                </c:pt>
                <c:pt idx="115">
                  <c:v>0.80200000000000005</c:v>
                </c:pt>
                <c:pt idx="116">
                  <c:v>0.83499999999999996</c:v>
                </c:pt>
                <c:pt idx="117">
                  <c:v>0.71599999999999997</c:v>
                </c:pt>
                <c:pt idx="118">
                  <c:v>0.63400000000000001</c:v>
                </c:pt>
              </c:numCache>
            </c:numRef>
          </c:val>
          <c:smooth val="0"/>
          <c:extLst>
            <c:ext xmlns:c16="http://schemas.microsoft.com/office/drawing/2014/chart" uri="{C3380CC4-5D6E-409C-BE32-E72D297353CC}">
              <c16:uniqueId val="{00000001-A154-4824-9375-B579DDCAC9B3}"/>
            </c:ext>
          </c:extLst>
        </c:ser>
        <c:ser>
          <c:idx val="2"/>
          <c:order val="2"/>
          <c:tx>
            <c:strRef>
              <c:f>'temperature-anomaly'!$K$1</c:f>
              <c:strCache>
                <c:ptCount val="1"/>
                <c:pt idx="0">
                  <c:v>Lower </c:v>
                </c:pt>
              </c:strCache>
            </c:strRef>
          </c:tx>
          <c:spPr>
            <a:ln w="12700" cap="rnd">
              <a:solidFill>
                <a:schemeClr val="accent3"/>
              </a:solidFill>
              <a:round/>
            </a:ln>
            <a:effectLst/>
          </c:spPr>
          <c:marker>
            <c:symbol val="none"/>
          </c:marker>
          <c:cat>
            <c:numRef>
              <c:f>'temperature-anomaly'!$H$2:$H$120</c:f>
              <c:numCache>
                <c:formatCode>General</c:formatCode>
                <c:ptCount val="119"/>
                <c:pt idx="0">
                  <c:v>1900</c:v>
                </c:pt>
                <c:pt idx="1">
                  <c:v>1901</c:v>
                </c:pt>
                <c:pt idx="2">
                  <c:v>1902</c:v>
                </c:pt>
                <c:pt idx="3">
                  <c:v>1903</c:v>
                </c:pt>
                <c:pt idx="4">
                  <c:v>1904</c:v>
                </c:pt>
                <c:pt idx="5">
                  <c:v>1905</c:v>
                </c:pt>
                <c:pt idx="6">
                  <c:v>1906</c:v>
                </c:pt>
                <c:pt idx="7">
                  <c:v>1907</c:v>
                </c:pt>
                <c:pt idx="8">
                  <c:v>1908</c:v>
                </c:pt>
                <c:pt idx="9">
                  <c:v>1909</c:v>
                </c:pt>
                <c:pt idx="10">
                  <c:v>1910</c:v>
                </c:pt>
                <c:pt idx="11">
                  <c:v>1911</c:v>
                </c:pt>
                <c:pt idx="12">
                  <c:v>1912</c:v>
                </c:pt>
                <c:pt idx="13">
                  <c:v>1913</c:v>
                </c:pt>
                <c:pt idx="14">
                  <c:v>1914</c:v>
                </c:pt>
                <c:pt idx="15">
                  <c:v>1915</c:v>
                </c:pt>
                <c:pt idx="16">
                  <c:v>1916</c:v>
                </c:pt>
                <c:pt idx="17">
                  <c:v>1917</c:v>
                </c:pt>
                <c:pt idx="18">
                  <c:v>1918</c:v>
                </c:pt>
                <c:pt idx="19">
                  <c:v>1919</c:v>
                </c:pt>
                <c:pt idx="20">
                  <c:v>1920</c:v>
                </c:pt>
                <c:pt idx="21">
                  <c:v>1921</c:v>
                </c:pt>
                <c:pt idx="22">
                  <c:v>1922</c:v>
                </c:pt>
                <c:pt idx="23">
                  <c:v>1923</c:v>
                </c:pt>
                <c:pt idx="24">
                  <c:v>1924</c:v>
                </c:pt>
                <c:pt idx="25">
                  <c:v>1925</c:v>
                </c:pt>
                <c:pt idx="26">
                  <c:v>1926</c:v>
                </c:pt>
                <c:pt idx="27">
                  <c:v>1927</c:v>
                </c:pt>
                <c:pt idx="28">
                  <c:v>1928</c:v>
                </c:pt>
                <c:pt idx="29">
                  <c:v>1929</c:v>
                </c:pt>
                <c:pt idx="30">
                  <c:v>1930</c:v>
                </c:pt>
                <c:pt idx="31">
                  <c:v>1931</c:v>
                </c:pt>
                <c:pt idx="32">
                  <c:v>1932</c:v>
                </c:pt>
                <c:pt idx="33">
                  <c:v>1933</c:v>
                </c:pt>
                <c:pt idx="34">
                  <c:v>1934</c:v>
                </c:pt>
                <c:pt idx="35">
                  <c:v>1935</c:v>
                </c:pt>
                <c:pt idx="36">
                  <c:v>1936</c:v>
                </c:pt>
                <c:pt idx="37">
                  <c:v>1937</c:v>
                </c:pt>
                <c:pt idx="38">
                  <c:v>1938</c:v>
                </c:pt>
                <c:pt idx="39">
                  <c:v>1939</c:v>
                </c:pt>
                <c:pt idx="40">
                  <c:v>1940</c:v>
                </c:pt>
                <c:pt idx="41">
                  <c:v>1941</c:v>
                </c:pt>
                <c:pt idx="42">
                  <c:v>1942</c:v>
                </c:pt>
                <c:pt idx="43">
                  <c:v>1943</c:v>
                </c:pt>
                <c:pt idx="44">
                  <c:v>1944</c:v>
                </c:pt>
                <c:pt idx="45">
                  <c:v>1945</c:v>
                </c:pt>
                <c:pt idx="46">
                  <c:v>1946</c:v>
                </c:pt>
                <c:pt idx="47">
                  <c:v>1947</c:v>
                </c:pt>
                <c:pt idx="48">
                  <c:v>1948</c:v>
                </c:pt>
                <c:pt idx="49">
                  <c:v>1949</c:v>
                </c:pt>
                <c:pt idx="50">
                  <c:v>1950</c:v>
                </c:pt>
                <c:pt idx="51">
                  <c:v>1951</c:v>
                </c:pt>
                <c:pt idx="52">
                  <c:v>1952</c:v>
                </c:pt>
                <c:pt idx="53">
                  <c:v>1953</c:v>
                </c:pt>
                <c:pt idx="54">
                  <c:v>1954</c:v>
                </c:pt>
                <c:pt idx="55">
                  <c:v>1955</c:v>
                </c:pt>
                <c:pt idx="56">
                  <c:v>1956</c:v>
                </c:pt>
                <c:pt idx="57">
                  <c:v>1957</c:v>
                </c:pt>
                <c:pt idx="58">
                  <c:v>1958</c:v>
                </c:pt>
                <c:pt idx="59">
                  <c:v>1959</c:v>
                </c:pt>
                <c:pt idx="60">
                  <c:v>1960</c:v>
                </c:pt>
                <c:pt idx="61">
                  <c:v>1961</c:v>
                </c:pt>
                <c:pt idx="62">
                  <c:v>1962</c:v>
                </c:pt>
                <c:pt idx="63">
                  <c:v>1963</c:v>
                </c:pt>
                <c:pt idx="64">
                  <c:v>1964</c:v>
                </c:pt>
                <c:pt idx="65">
                  <c:v>1965</c:v>
                </c:pt>
                <c:pt idx="66">
                  <c:v>1966</c:v>
                </c:pt>
                <c:pt idx="67">
                  <c:v>1967</c:v>
                </c:pt>
                <c:pt idx="68">
                  <c:v>1968</c:v>
                </c:pt>
                <c:pt idx="69">
                  <c:v>1969</c:v>
                </c:pt>
                <c:pt idx="70">
                  <c:v>1970</c:v>
                </c:pt>
                <c:pt idx="71">
                  <c:v>1971</c:v>
                </c:pt>
                <c:pt idx="72">
                  <c:v>1972</c:v>
                </c:pt>
                <c:pt idx="73">
                  <c:v>1973</c:v>
                </c:pt>
                <c:pt idx="74">
                  <c:v>1974</c:v>
                </c:pt>
                <c:pt idx="75">
                  <c:v>1975</c:v>
                </c:pt>
                <c:pt idx="76">
                  <c:v>1976</c:v>
                </c:pt>
                <c:pt idx="77">
                  <c:v>1977</c:v>
                </c:pt>
                <c:pt idx="78">
                  <c:v>1978</c:v>
                </c:pt>
                <c:pt idx="79">
                  <c:v>1979</c:v>
                </c:pt>
                <c:pt idx="80">
                  <c:v>1980</c:v>
                </c:pt>
                <c:pt idx="81">
                  <c:v>1981</c:v>
                </c:pt>
                <c:pt idx="82">
                  <c:v>1982</c:v>
                </c:pt>
                <c:pt idx="83">
                  <c:v>1983</c:v>
                </c:pt>
                <c:pt idx="84">
                  <c:v>1984</c:v>
                </c:pt>
                <c:pt idx="85">
                  <c:v>1985</c:v>
                </c:pt>
                <c:pt idx="86">
                  <c:v>1986</c:v>
                </c:pt>
                <c:pt idx="87">
                  <c:v>1987</c:v>
                </c:pt>
                <c:pt idx="88">
                  <c:v>1988</c:v>
                </c:pt>
                <c:pt idx="89">
                  <c:v>1989</c:v>
                </c:pt>
                <c:pt idx="90">
                  <c:v>1990</c:v>
                </c:pt>
                <c:pt idx="91">
                  <c:v>1991</c:v>
                </c:pt>
                <c:pt idx="92">
                  <c:v>1992</c:v>
                </c:pt>
                <c:pt idx="93">
                  <c:v>1993</c:v>
                </c:pt>
                <c:pt idx="94">
                  <c:v>1994</c:v>
                </c:pt>
                <c:pt idx="95">
                  <c:v>1995</c:v>
                </c:pt>
                <c:pt idx="96">
                  <c:v>1996</c:v>
                </c:pt>
                <c:pt idx="97">
                  <c:v>1997</c:v>
                </c:pt>
                <c:pt idx="98">
                  <c:v>1998</c:v>
                </c:pt>
                <c:pt idx="99">
                  <c:v>1999</c:v>
                </c:pt>
                <c:pt idx="100">
                  <c:v>2000</c:v>
                </c:pt>
                <c:pt idx="101">
                  <c:v>2001</c:v>
                </c:pt>
                <c:pt idx="102">
                  <c:v>2002</c:v>
                </c:pt>
                <c:pt idx="103">
                  <c:v>2003</c:v>
                </c:pt>
                <c:pt idx="104">
                  <c:v>2004</c:v>
                </c:pt>
                <c:pt idx="105">
                  <c:v>2005</c:v>
                </c:pt>
                <c:pt idx="106">
                  <c:v>2006</c:v>
                </c:pt>
                <c:pt idx="107">
                  <c:v>2007</c:v>
                </c:pt>
                <c:pt idx="108">
                  <c:v>2008</c:v>
                </c:pt>
                <c:pt idx="109">
                  <c:v>2009</c:v>
                </c:pt>
                <c:pt idx="110">
                  <c:v>2010</c:v>
                </c:pt>
                <c:pt idx="111">
                  <c:v>2011</c:v>
                </c:pt>
                <c:pt idx="112">
                  <c:v>2012</c:v>
                </c:pt>
                <c:pt idx="113">
                  <c:v>2013</c:v>
                </c:pt>
                <c:pt idx="114">
                  <c:v>2014</c:v>
                </c:pt>
                <c:pt idx="115">
                  <c:v>2015</c:v>
                </c:pt>
                <c:pt idx="116">
                  <c:v>2016</c:v>
                </c:pt>
                <c:pt idx="117">
                  <c:v>2017</c:v>
                </c:pt>
                <c:pt idx="118">
                  <c:v>2018</c:v>
                </c:pt>
              </c:numCache>
            </c:numRef>
          </c:cat>
          <c:val>
            <c:numRef>
              <c:f>'temperature-anomaly'!$K$2:$K$120</c:f>
              <c:numCache>
                <c:formatCode>General</c:formatCode>
                <c:ptCount val="119"/>
                <c:pt idx="0">
                  <c:v>0.27200000000000002</c:v>
                </c:pt>
                <c:pt idx="1">
                  <c:v>0.32600000000000001</c:v>
                </c:pt>
                <c:pt idx="2">
                  <c:v>0.46100000000000002</c:v>
                </c:pt>
                <c:pt idx="3">
                  <c:v>0.54300000000000004</c:v>
                </c:pt>
                <c:pt idx="4">
                  <c:v>0.57999999999999996</c:v>
                </c:pt>
                <c:pt idx="5">
                  <c:v>0.438</c:v>
                </c:pt>
                <c:pt idx="6">
                  <c:v>0.33800000000000002</c:v>
                </c:pt>
                <c:pt idx="7">
                  <c:v>0.52300000000000002</c:v>
                </c:pt>
                <c:pt idx="8">
                  <c:v>0.56299999999999994</c:v>
                </c:pt>
                <c:pt idx="9">
                  <c:v>0.57599999999999996</c:v>
                </c:pt>
                <c:pt idx="10">
                  <c:v>0.54700000000000004</c:v>
                </c:pt>
                <c:pt idx="11">
                  <c:v>0.59499999999999997</c:v>
                </c:pt>
                <c:pt idx="12">
                  <c:v>0.48599999999999999</c:v>
                </c:pt>
                <c:pt idx="13">
                  <c:v>0.47099999999999997</c:v>
                </c:pt>
                <c:pt idx="14">
                  <c:v>0.29099999999999998</c:v>
                </c:pt>
                <c:pt idx="15">
                  <c:v>0.20200000000000001</c:v>
                </c:pt>
                <c:pt idx="16">
                  <c:v>0.437</c:v>
                </c:pt>
                <c:pt idx="17">
                  <c:v>0.52500000000000002</c:v>
                </c:pt>
                <c:pt idx="18">
                  <c:v>0.39600000000000002</c:v>
                </c:pt>
                <c:pt idx="19">
                  <c:v>0.32700000000000001</c:v>
                </c:pt>
                <c:pt idx="20">
                  <c:v>0.29599999999999999</c:v>
                </c:pt>
                <c:pt idx="21">
                  <c:v>0.23699999999999999</c:v>
                </c:pt>
                <c:pt idx="22">
                  <c:v>0.34599999999999997</c:v>
                </c:pt>
                <c:pt idx="23">
                  <c:v>0.32300000000000001</c:v>
                </c:pt>
                <c:pt idx="24">
                  <c:v>0.34</c:v>
                </c:pt>
                <c:pt idx="25">
                  <c:v>0.26500000000000001</c:v>
                </c:pt>
                <c:pt idx="26">
                  <c:v>0.155</c:v>
                </c:pt>
                <c:pt idx="27">
                  <c:v>0.253</c:v>
                </c:pt>
                <c:pt idx="28">
                  <c:v>0.253</c:v>
                </c:pt>
                <c:pt idx="29">
                  <c:v>0.39400000000000002</c:v>
                </c:pt>
                <c:pt idx="30">
                  <c:v>0.18099999999999999</c:v>
                </c:pt>
                <c:pt idx="31">
                  <c:v>0.13300000000000001</c:v>
                </c:pt>
                <c:pt idx="32">
                  <c:v>0.183</c:v>
                </c:pt>
                <c:pt idx="33">
                  <c:v>0.32</c:v>
                </c:pt>
                <c:pt idx="34">
                  <c:v>0.17699999999999999</c:v>
                </c:pt>
                <c:pt idx="35">
                  <c:v>0.221</c:v>
                </c:pt>
                <c:pt idx="36">
                  <c:v>0.186</c:v>
                </c:pt>
                <c:pt idx="37">
                  <c:v>6.4000000000000001E-2</c:v>
                </c:pt>
                <c:pt idx="38">
                  <c:v>4.3999999999999997E-2</c:v>
                </c:pt>
                <c:pt idx="39">
                  <c:v>8.7999999999999995E-2</c:v>
                </c:pt>
                <c:pt idx="40">
                  <c:v>1.7999999999999999E-2</c:v>
                </c:pt>
                <c:pt idx="41">
                  <c:v>2.1000000000000001E-2</c:v>
                </c:pt>
                <c:pt idx="42">
                  <c:v>8.1000000000000003E-2</c:v>
                </c:pt>
                <c:pt idx="43">
                  <c:v>5.6000000000000001E-2</c:v>
                </c:pt>
                <c:pt idx="44">
                  <c:v>9.4E-2</c:v>
                </c:pt>
                <c:pt idx="45">
                  <c:v>1.7000000000000001E-2</c:v>
                </c:pt>
                <c:pt idx="46">
                  <c:v>0.113</c:v>
                </c:pt>
                <c:pt idx="47">
                  <c:v>9.8000000000000004E-2</c:v>
                </c:pt>
                <c:pt idx="48">
                  <c:v>0.10100000000000001</c:v>
                </c:pt>
                <c:pt idx="49">
                  <c:v>0.11899999999999999</c:v>
                </c:pt>
                <c:pt idx="50">
                  <c:v>0.216</c:v>
                </c:pt>
                <c:pt idx="51">
                  <c:v>9.0999999999999998E-2</c:v>
                </c:pt>
                <c:pt idx="52">
                  <c:v>0.01</c:v>
                </c:pt>
                <c:pt idx="53">
                  <c:v>0.06</c:v>
                </c:pt>
                <c:pt idx="54">
                  <c:v>0.16600000000000001</c:v>
                </c:pt>
                <c:pt idx="55">
                  <c:v>0.222</c:v>
                </c:pt>
                <c:pt idx="56">
                  <c:v>0.29699999999999999</c:v>
                </c:pt>
                <c:pt idx="57">
                  <c:v>3.5000000000000003E-2</c:v>
                </c:pt>
                <c:pt idx="58">
                  <c:v>0.02</c:v>
                </c:pt>
                <c:pt idx="59">
                  <c:v>8.0000000000000002E-3</c:v>
                </c:pt>
                <c:pt idx="60">
                  <c:v>7.2999999999999995E-2</c:v>
                </c:pt>
                <c:pt idx="61">
                  <c:v>8.9999999999999993E-3</c:v>
                </c:pt>
                <c:pt idx="62">
                  <c:v>1.2E-2</c:v>
                </c:pt>
                <c:pt idx="63">
                  <c:v>2.1999999999999999E-2</c:v>
                </c:pt>
                <c:pt idx="64">
                  <c:v>0.246</c:v>
                </c:pt>
                <c:pt idx="65">
                  <c:v>0.16300000000000001</c:v>
                </c:pt>
                <c:pt idx="66">
                  <c:v>0.09</c:v>
                </c:pt>
                <c:pt idx="67">
                  <c:v>9.2999999999999999E-2</c:v>
                </c:pt>
                <c:pt idx="68">
                  <c:v>0.13300000000000001</c:v>
                </c:pt>
                <c:pt idx="69">
                  <c:v>1.4E-2</c:v>
                </c:pt>
                <c:pt idx="70">
                  <c:v>4.8000000000000001E-2</c:v>
                </c:pt>
                <c:pt idx="71">
                  <c:v>0.20399999999999999</c:v>
                </c:pt>
                <c:pt idx="72">
                  <c:v>0.08</c:v>
                </c:pt>
                <c:pt idx="73">
                  <c:v>5.0999999999999997E-2</c:v>
                </c:pt>
                <c:pt idx="74">
                  <c:v>0.22700000000000001</c:v>
                </c:pt>
                <c:pt idx="75">
                  <c:v>0.16300000000000001</c:v>
                </c:pt>
                <c:pt idx="76">
                  <c:v>0.255</c:v>
                </c:pt>
                <c:pt idx="77">
                  <c:v>3.4000000000000002E-2</c:v>
                </c:pt>
                <c:pt idx="78">
                  <c:v>7.6999999999999999E-2</c:v>
                </c:pt>
                <c:pt idx="79">
                  <c:v>4.1000000000000002E-2</c:v>
                </c:pt>
                <c:pt idx="80">
                  <c:v>7.6999999999999999E-2</c:v>
                </c:pt>
                <c:pt idx="81">
                  <c:v>0.125</c:v>
                </c:pt>
                <c:pt idx="82">
                  <c:v>1.0999999999999999E-2</c:v>
                </c:pt>
                <c:pt idx="83">
                  <c:v>0.17399999999999999</c:v>
                </c:pt>
                <c:pt idx="84">
                  <c:v>3.3000000000000002E-2</c:v>
                </c:pt>
                <c:pt idx="85">
                  <c:v>4.8000000000000001E-2</c:v>
                </c:pt>
                <c:pt idx="86">
                  <c:v>2.4E-2</c:v>
                </c:pt>
                <c:pt idx="87">
                  <c:v>0.17100000000000001</c:v>
                </c:pt>
                <c:pt idx="88">
                  <c:v>0.17499999999999999</c:v>
                </c:pt>
                <c:pt idx="89">
                  <c:v>9.0999999999999998E-2</c:v>
                </c:pt>
                <c:pt idx="90">
                  <c:v>0.26700000000000002</c:v>
                </c:pt>
                <c:pt idx="91">
                  <c:v>0.22</c:v>
                </c:pt>
                <c:pt idx="92">
                  <c:v>7.0999999999999994E-2</c:v>
                </c:pt>
                <c:pt idx="93">
                  <c:v>0.112</c:v>
                </c:pt>
                <c:pt idx="94">
                  <c:v>0.17399999999999999</c:v>
                </c:pt>
                <c:pt idx="95">
                  <c:v>0.28899999999999998</c:v>
                </c:pt>
                <c:pt idx="96">
                  <c:v>0.14599999999999999</c:v>
                </c:pt>
                <c:pt idx="97">
                  <c:v>0.35599999999999998</c:v>
                </c:pt>
                <c:pt idx="98">
                  <c:v>0.5</c:v>
                </c:pt>
                <c:pt idx="99">
                  <c:v>0.26500000000000001</c:v>
                </c:pt>
                <c:pt idx="100">
                  <c:v>0.25900000000000001</c:v>
                </c:pt>
                <c:pt idx="101">
                  <c:v>0.40600000000000003</c:v>
                </c:pt>
                <c:pt idx="102">
                  <c:v>0.46300000000000002</c:v>
                </c:pt>
                <c:pt idx="103">
                  <c:v>0.47299999999999998</c:v>
                </c:pt>
                <c:pt idx="104">
                  <c:v>0.41299999999999998</c:v>
                </c:pt>
                <c:pt idx="105">
                  <c:v>0.50700000000000001</c:v>
                </c:pt>
                <c:pt idx="106">
                  <c:v>0.46800000000000003</c:v>
                </c:pt>
                <c:pt idx="107">
                  <c:v>0.45700000000000002</c:v>
                </c:pt>
                <c:pt idx="108">
                  <c:v>0.35499999999999998</c:v>
                </c:pt>
                <c:pt idx="109">
                  <c:v>0.46500000000000002</c:v>
                </c:pt>
                <c:pt idx="110">
                  <c:v>0.52300000000000002</c:v>
                </c:pt>
                <c:pt idx="111">
                  <c:v>0.39300000000000002</c:v>
                </c:pt>
                <c:pt idx="112">
                  <c:v>0.437</c:v>
                </c:pt>
                <c:pt idx="113">
                  <c:v>0.47799999999999998</c:v>
                </c:pt>
                <c:pt idx="114">
                  <c:v>0.54500000000000004</c:v>
                </c:pt>
                <c:pt idx="115">
                  <c:v>0.73</c:v>
                </c:pt>
                <c:pt idx="116">
                  <c:v>0.76200000000000001</c:v>
                </c:pt>
                <c:pt idx="117">
                  <c:v>0.63600000000000001</c:v>
                </c:pt>
                <c:pt idx="118">
                  <c:v>0.55800000000000005</c:v>
                </c:pt>
              </c:numCache>
            </c:numRef>
          </c:val>
          <c:smooth val="0"/>
          <c:extLst>
            <c:ext xmlns:c16="http://schemas.microsoft.com/office/drawing/2014/chart" uri="{C3380CC4-5D6E-409C-BE32-E72D297353CC}">
              <c16:uniqueId val="{00000002-A154-4824-9375-B579DDCAC9B3}"/>
            </c:ext>
          </c:extLst>
        </c:ser>
        <c:dLbls>
          <c:showLegendKey val="0"/>
          <c:showVal val="0"/>
          <c:showCatName val="0"/>
          <c:showSerName val="0"/>
          <c:showPercent val="0"/>
          <c:showBubbleSize val="0"/>
        </c:dLbls>
        <c:smooth val="0"/>
        <c:axId val="-1751044928"/>
        <c:axId val="-1751044384"/>
      </c:lineChart>
      <c:catAx>
        <c:axId val="-17510449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44384"/>
        <c:crosses val="autoZero"/>
        <c:auto val="1"/>
        <c:lblAlgn val="ctr"/>
        <c:lblOffset val="100"/>
        <c:noMultiLvlLbl val="0"/>
      </c:catAx>
      <c:valAx>
        <c:axId val="-17510443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Temperature anomaly (C</a:t>
                </a:r>
                <a:r>
                  <a:rPr lang="pl-PL" baseline="30000"/>
                  <a:t>o</a:t>
                </a:r>
                <a:r>
                  <a:rPr lang="pl-PL" baseline="0"/>
                  <a:t>)</a:t>
                </a:r>
                <a:endParaRPr lang="pl-PL" baseline="3000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449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S&amp;P</a:t>
            </a:r>
            <a:r>
              <a:rPr lang="pl-PL" baseline="0"/>
              <a:t> 500 Raport o zrównoważonym rozwoju</a:t>
            </a:r>
            <a:endParaRPr lang="en-GB"/>
          </a:p>
        </c:rich>
      </c:tx>
      <c:layout>
        <c:manualLayout>
          <c:xMode val="edge"/>
          <c:yMode val="edge"/>
          <c:x val="0.15676873096618704"/>
          <c:y val="4.6252885504761239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0.12538702968745366"/>
          <c:y val="0.16334036780223093"/>
          <c:w val="0.83516523855712221"/>
          <c:h val="0.55885808967879613"/>
        </c:manualLayout>
      </c:layout>
      <c:barChart>
        <c:barDir val="col"/>
        <c:grouping val="stacked"/>
        <c:varyColors val="0"/>
        <c:ser>
          <c:idx val="0"/>
          <c:order val="0"/>
          <c:tx>
            <c:strRef>
              <c:f>Sheet9!$A$3</c:f>
              <c:strCache>
                <c:ptCount val="1"/>
                <c:pt idx="0">
                  <c:v>Reporters</c:v>
                </c:pt>
              </c:strCache>
            </c:strRef>
          </c:tx>
          <c:spPr>
            <a:solidFill>
              <a:srgbClr val="00B050"/>
            </a:solidFill>
            <a:ln>
              <a:noFill/>
            </a:ln>
            <a:effectLst/>
          </c:spPr>
          <c:invertIfNegative val="0"/>
          <c:cat>
            <c:numRef>
              <c:f>Sheet9!$B$2:$H$2</c:f>
              <c:numCache>
                <c:formatCode>General</c:formatCode>
                <c:ptCount val="7"/>
                <c:pt idx="0">
                  <c:v>2011</c:v>
                </c:pt>
                <c:pt idx="1">
                  <c:v>2012</c:v>
                </c:pt>
                <c:pt idx="2">
                  <c:v>2013</c:v>
                </c:pt>
                <c:pt idx="3">
                  <c:v>2014</c:v>
                </c:pt>
                <c:pt idx="4">
                  <c:v>2015</c:v>
                </c:pt>
                <c:pt idx="5">
                  <c:v>2016</c:v>
                </c:pt>
                <c:pt idx="6">
                  <c:v>2017</c:v>
                </c:pt>
              </c:numCache>
            </c:numRef>
          </c:cat>
          <c:val>
            <c:numRef>
              <c:f>Sheet9!$B$3:$H$3</c:f>
              <c:numCache>
                <c:formatCode>0%</c:formatCode>
                <c:ptCount val="7"/>
                <c:pt idx="0">
                  <c:v>0.2</c:v>
                </c:pt>
                <c:pt idx="1">
                  <c:v>0.52</c:v>
                </c:pt>
                <c:pt idx="2">
                  <c:v>0.72</c:v>
                </c:pt>
                <c:pt idx="3">
                  <c:v>0.75</c:v>
                </c:pt>
                <c:pt idx="4">
                  <c:v>0.81</c:v>
                </c:pt>
                <c:pt idx="5">
                  <c:v>0.82</c:v>
                </c:pt>
                <c:pt idx="6">
                  <c:v>0.85</c:v>
                </c:pt>
              </c:numCache>
            </c:numRef>
          </c:val>
          <c:extLst>
            <c:ext xmlns:c16="http://schemas.microsoft.com/office/drawing/2014/chart" uri="{C3380CC4-5D6E-409C-BE32-E72D297353CC}">
              <c16:uniqueId val="{00000000-DEF1-443A-A319-2D6928B5070C}"/>
            </c:ext>
          </c:extLst>
        </c:ser>
        <c:ser>
          <c:idx val="1"/>
          <c:order val="1"/>
          <c:tx>
            <c:strRef>
              <c:f>Sheet9!$A$4</c:f>
              <c:strCache>
                <c:ptCount val="1"/>
                <c:pt idx="0">
                  <c:v>Non-reporters</c:v>
                </c:pt>
              </c:strCache>
            </c:strRef>
          </c:tx>
          <c:spPr>
            <a:solidFill>
              <a:srgbClr val="FF0000"/>
            </a:solidFill>
            <a:ln>
              <a:noFill/>
            </a:ln>
            <a:effectLst/>
          </c:spPr>
          <c:invertIfNegative val="0"/>
          <c:cat>
            <c:numRef>
              <c:f>Sheet9!$B$2:$H$2</c:f>
              <c:numCache>
                <c:formatCode>General</c:formatCode>
                <c:ptCount val="7"/>
                <c:pt idx="0">
                  <c:v>2011</c:v>
                </c:pt>
                <c:pt idx="1">
                  <c:v>2012</c:v>
                </c:pt>
                <c:pt idx="2">
                  <c:v>2013</c:v>
                </c:pt>
                <c:pt idx="3">
                  <c:v>2014</c:v>
                </c:pt>
                <c:pt idx="4">
                  <c:v>2015</c:v>
                </c:pt>
                <c:pt idx="5">
                  <c:v>2016</c:v>
                </c:pt>
                <c:pt idx="6">
                  <c:v>2017</c:v>
                </c:pt>
              </c:numCache>
            </c:numRef>
          </c:cat>
          <c:val>
            <c:numRef>
              <c:f>Sheet9!$B$4:$H$4</c:f>
              <c:numCache>
                <c:formatCode>0%</c:formatCode>
                <c:ptCount val="7"/>
                <c:pt idx="0">
                  <c:v>0.8</c:v>
                </c:pt>
                <c:pt idx="1">
                  <c:v>0.48</c:v>
                </c:pt>
                <c:pt idx="2">
                  <c:v>0.28000000000000003</c:v>
                </c:pt>
                <c:pt idx="3">
                  <c:v>0.25</c:v>
                </c:pt>
                <c:pt idx="4">
                  <c:v>0.18999999999999995</c:v>
                </c:pt>
                <c:pt idx="5">
                  <c:v>0.18000000000000005</c:v>
                </c:pt>
                <c:pt idx="6">
                  <c:v>0.15000000000000002</c:v>
                </c:pt>
              </c:numCache>
            </c:numRef>
          </c:val>
          <c:extLst>
            <c:ext xmlns:c16="http://schemas.microsoft.com/office/drawing/2014/chart" uri="{C3380CC4-5D6E-409C-BE32-E72D297353CC}">
              <c16:uniqueId val="{00000001-DEF1-443A-A319-2D6928B5070C}"/>
            </c:ext>
          </c:extLst>
        </c:ser>
        <c:dLbls>
          <c:showLegendKey val="0"/>
          <c:showVal val="0"/>
          <c:showCatName val="0"/>
          <c:showSerName val="0"/>
          <c:showPercent val="0"/>
          <c:showBubbleSize val="0"/>
        </c:dLbls>
        <c:gapWidth val="150"/>
        <c:overlap val="100"/>
        <c:axId val="-1880211392"/>
        <c:axId val="-1880216832"/>
      </c:barChart>
      <c:dateAx>
        <c:axId val="-188021139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880216832"/>
        <c:crosses val="autoZero"/>
        <c:auto val="0"/>
        <c:lblOffset val="100"/>
        <c:baseTimeUnit val="days"/>
      </c:dateAx>
      <c:valAx>
        <c:axId val="-1880216832"/>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880211392"/>
        <c:crossesAt val="2011"/>
        <c:crossBetween val="between"/>
      </c:valAx>
      <c:spPr>
        <a:noFill/>
        <a:ln>
          <a:noFill/>
        </a:ln>
        <a:effectLst/>
      </c:spPr>
    </c:plotArea>
    <c:legend>
      <c:legendPos val="b"/>
      <c:layout>
        <c:manualLayout>
          <c:xMode val="edge"/>
          <c:yMode val="edge"/>
          <c:x val="0.26688889547762956"/>
          <c:y val="0.83192572740285664"/>
          <c:w val="0.4662219266701399"/>
          <c:h val="0.1017492801340742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Tematy interesujące inwestorów</a:t>
            </a:r>
            <a:endParaRPr lang="en-GB"/>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stacked"/>
        <c:varyColors val="0"/>
        <c:ser>
          <c:idx val="0"/>
          <c:order val="0"/>
          <c:tx>
            <c:strRef>
              <c:f>Sheet10!$C$1</c:f>
              <c:strCache>
                <c:ptCount val="1"/>
                <c:pt idx="0">
                  <c:v>Very interested</c:v>
                </c:pt>
              </c:strCache>
            </c:strRef>
          </c:tx>
          <c:spPr>
            <a:solidFill>
              <a:srgbClr val="002060"/>
            </a:solidFill>
            <a:ln>
              <a:noFill/>
            </a:ln>
            <a:effectLst/>
          </c:spPr>
          <c:invertIfNegative val="0"/>
          <c:cat>
            <c:strRef>
              <c:f>Sheet10!$B$2:$B$9</c:f>
              <c:strCache>
                <c:ptCount val="8"/>
                <c:pt idx="0">
                  <c:v>Plastic reduction</c:v>
                </c:pt>
                <c:pt idx="1">
                  <c:v>Climate change</c:v>
                </c:pt>
                <c:pt idx="2">
                  <c:v>Community development</c:v>
                </c:pt>
                <c:pt idx="3">
                  <c:v>Circular economy</c:v>
                </c:pt>
                <c:pt idx="4">
                  <c:v>Sustainability development goals</c:v>
                </c:pt>
                <c:pt idx="5">
                  <c:v>Multicultural diversity</c:v>
                </c:pt>
                <c:pt idx="6">
                  <c:v>Gender diversity</c:v>
                </c:pt>
                <c:pt idx="7">
                  <c:v>Faith-based values</c:v>
                </c:pt>
              </c:strCache>
            </c:strRef>
          </c:cat>
          <c:val>
            <c:numRef>
              <c:f>Sheet10!$C$2:$C$9</c:f>
              <c:numCache>
                <c:formatCode>0%</c:formatCode>
                <c:ptCount val="8"/>
                <c:pt idx="0">
                  <c:v>0.46</c:v>
                </c:pt>
                <c:pt idx="1">
                  <c:v>0.46</c:v>
                </c:pt>
                <c:pt idx="2">
                  <c:v>0.42</c:v>
                </c:pt>
                <c:pt idx="3">
                  <c:v>0.39</c:v>
                </c:pt>
                <c:pt idx="4">
                  <c:v>0.36</c:v>
                </c:pt>
                <c:pt idx="5">
                  <c:v>0.3</c:v>
                </c:pt>
                <c:pt idx="6">
                  <c:v>0.3</c:v>
                </c:pt>
                <c:pt idx="7">
                  <c:v>0.24</c:v>
                </c:pt>
              </c:numCache>
            </c:numRef>
          </c:val>
          <c:extLst>
            <c:ext xmlns:c16="http://schemas.microsoft.com/office/drawing/2014/chart" uri="{C3380CC4-5D6E-409C-BE32-E72D297353CC}">
              <c16:uniqueId val="{00000000-3518-4CF1-8B26-E28230AC49F5}"/>
            </c:ext>
          </c:extLst>
        </c:ser>
        <c:ser>
          <c:idx val="1"/>
          <c:order val="1"/>
          <c:tx>
            <c:strRef>
              <c:f>Sheet10!$D$1</c:f>
              <c:strCache>
                <c:ptCount val="1"/>
                <c:pt idx="0">
                  <c:v>Somewhat interested</c:v>
                </c:pt>
              </c:strCache>
            </c:strRef>
          </c:tx>
          <c:spPr>
            <a:solidFill>
              <a:srgbClr val="00B0F0"/>
            </a:solidFill>
            <a:ln>
              <a:noFill/>
            </a:ln>
            <a:effectLst/>
          </c:spPr>
          <c:invertIfNegative val="0"/>
          <c:cat>
            <c:strRef>
              <c:f>Sheet10!$B$2:$B$9</c:f>
              <c:strCache>
                <c:ptCount val="8"/>
                <c:pt idx="0">
                  <c:v>Plastic reduction</c:v>
                </c:pt>
                <c:pt idx="1">
                  <c:v>Climate change</c:v>
                </c:pt>
                <c:pt idx="2">
                  <c:v>Community development</c:v>
                </c:pt>
                <c:pt idx="3">
                  <c:v>Circular economy</c:v>
                </c:pt>
                <c:pt idx="4">
                  <c:v>Sustainability development goals</c:v>
                </c:pt>
                <c:pt idx="5">
                  <c:v>Multicultural diversity</c:v>
                </c:pt>
                <c:pt idx="6">
                  <c:v>Gender diversity</c:v>
                </c:pt>
                <c:pt idx="7">
                  <c:v>Faith-based values</c:v>
                </c:pt>
              </c:strCache>
            </c:strRef>
          </c:cat>
          <c:val>
            <c:numRef>
              <c:f>Sheet10!$D$2:$D$9</c:f>
              <c:numCache>
                <c:formatCode>0%</c:formatCode>
                <c:ptCount val="8"/>
                <c:pt idx="0">
                  <c:v>0.37</c:v>
                </c:pt>
                <c:pt idx="1">
                  <c:v>0.32</c:v>
                </c:pt>
                <c:pt idx="2">
                  <c:v>0.41</c:v>
                </c:pt>
                <c:pt idx="3">
                  <c:v>0.46</c:v>
                </c:pt>
                <c:pt idx="4">
                  <c:v>0.41</c:v>
                </c:pt>
                <c:pt idx="5">
                  <c:v>0.41</c:v>
                </c:pt>
                <c:pt idx="6">
                  <c:v>0.33</c:v>
                </c:pt>
                <c:pt idx="7">
                  <c:v>0.31</c:v>
                </c:pt>
              </c:numCache>
            </c:numRef>
          </c:val>
          <c:extLst>
            <c:ext xmlns:c16="http://schemas.microsoft.com/office/drawing/2014/chart" uri="{C3380CC4-5D6E-409C-BE32-E72D297353CC}">
              <c16:uniqueId val="{00000001-3518-4CF1-8B26-E28230AC49F5}"/>
            </c:ext>
          </c:extLst>
        </c:ser>
        <c:dLbls>
          <c:showLegendKey val="0"/>
          <c:showVal val="0"/>
          <c:showCatName val="0"/>
          <c:showSerName val="0"/>
          <c:showPercent val="0"/>
          <c:showBubbleSize val="0"/>
        </c:dLbls>
        <c:gapWidth val="150"/>
        <c:overlap val="100"/>
        <c:axId val="-1880235872"/>
        <c:axId val="-1880214656"/>
      </c:barChart>
      <c:catAx>
        <c:axId val="-188023587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880214656"/>
        <c:crosses val="autoZero"/>
        <c:auto val="1"/>
        <c:lblAlgn val="ctr"/>
        <c:lblOffset val="100"/>
        <c:noMultiLvlLbl val="0"/>
      </c:catAx>
      <c:valAx>
        <c:axId val="-1880214656"/>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8802358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Sheet2!$A$1:$A$11</c:f>
              <c:strCache>
                <c:ptCount val="11"/>
                <c:pt idx="0">
                  <c:v>Solar Photovoltaic</c:v>
                </c:pt>
                <c:pt idx="1">
                  <c:v>Liquid Biofuels</c:v>
                </c:pt>
                <c:pt idx="2">
                  <c:v>Hydropower</c:v>
                </c:pt>
                <c:pt idx="3">
                  <c:v>Wind Energy</c:v>
                </c:pt>
                <c:pt idx="4">
                  <c:v>Solar Heating/Cooling</c:v>
                </c:pt>
                <c:pt idx="5">
                  <c:v>Solid Biomass</c:v>
                </c:pt>
                <c:pt idx="6">
                  <c:v>Biogas</c:v>
                </c:pt>
                <c:pt idx="7">
                  <c:v>Geothermal Energy</c:v>
                </c:pt>
                <c:pt idx="8">
                  <c:v>Municipial and industrial waste</c:v>
                </c:pt>
                <c:pt idx="9">
                  <c:v>CSP</c:v>
                </c:pt>
                <c:pt idx="10">
                  <c:v>Tide, wave and ocean energy</c:v>
                </c:pt>
              </c:strCache>
            </c:strRef>
          </c:cat>
          <c:val>
            <c:numRef>
              <c:f>Sheet2!$B$1:$B$11</c:f>
              <c:numCache>
                <c:formatCode>General</c:formatCode>
                <c:ptCount val="11"/>
                <c:pt idx="0">
                  <c:v>3605</c:v>
                </c:pt>
                <c:pt idx="1">
                  <c:v>2063</c:v>
                </c:pt>
                <c:pt idx="2">
                  <c:v>2054</c:v>
                </c:pt>
                <c:pt idx="3">
                  <c:v>1160</c:v>
                </c:pt>
                <c:pt idx="4">
                  <c:v>801</c:v>
                </c:pt>
                <c:pt idx="5">
                  <c:v>787</c:v>
                </c:pt>
                <c:pt idx="6">
                  <c:v>334</c:v>
                </c:pt>
                <c:pt idx="7">
                  <c:v>94</c:v>
                </c:pt>
                <c:pt idx="8">
                  <c:v>41</c:v>
                </c:pt>
                <c:pt idx="9">
                  <c:v>34</c:v>
                </c:pt>
                <c:pt idx="10">
                  <c:v>1</c:v>
                </c:pt>
              </c:numCache>
            </c:numRef>
          </c:val>
          <c:extLst>
            <c:ext xmlns:c16="http://schemas.microsoft.com/office/drawing/2014/chart" uri="{C3380CC4-5D6E-409C-BE32-E72D297353CC}">
              <c16:uniqueId val="{00000000-0B5B-41D2-AA32-12565635D781}"/>
            </c:ext>
          </c:extLst>
        </c:ser>
        <c:dLbls>
          <c:showLegendKey val="0"/>
          <c:showVal val="0"/>
          <c:showCatName val="0"/>
          <c:showSerName val="0"/>
          <c:showPercent val="0"/>
          <c:showBubbleSize val="0"/>
        </c:dLbls>
        <c:gapWidth val="100"/>
        <c:axId val="-1751066688"/>
        <c:axId val="-1751055808"/>
      </c:barChart>
      <c:catAx>
        <c:axId val="-1751066688"/>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pl-PL"/>
          </a:p>
        </c:txPr>
        <c:crossAx val="-1751055808"/>
        <c:crosses val="autoZero"/>
        <c:auto val="1"/>
        <c:lblAlgn val="ctr"/>
        <c:lblOffset val="100"/>
        <c:noMultiLvlLbl val="0"/>
      </c:catAx>
      <c:valAx>
        <c:axId val="-1751055808"/>
        <c:scaling>
          <c:orientation val="minMax"/>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pl-PL"/>
                  <a:t>Prace w tysiącach</a:t>
                </a:r>
                <a:endParaRPr lang="en-GB"/>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pl-PL"/>
          </a:p>
        </c:txPr>
        <c:crossAx val="-175106668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1" baseline="0"/>
              <a:t>Globalny udział źródeł energii odnawialnej w 2017 roku</a:t>
            </a:r>
            <a:endParaRPr lang="en-GB" sz="1400" b="1"/>
          </a:p>
        </c:rich>
      </c:tx>
      <c:layout>
        <c:manualLayout>
          <c:xMode val="edge"/>
          <c:yMode val="edge"/>
          <c:x val="0.20686614173228349"/>
          <c:y val="4.4336191959291997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E52-46E2-933B-953034B37EE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E52-46E2-933B-953034B37EE8}"/>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1E52-46E2-933B-953034B37EE8}"/>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1E52-46E2-933B-953034B37EE8}"/>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1E52-46E2-933B-953034B37EE8}"/>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pl-PL"/>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Sheet3!$A$1:$A$5</c:f>
              <c:strCache>
                <c:ptCount val="5"/>
                <c:pt idx="0">
                  <c:v>Hydro</c:v>
                </c:pt>
                <c:pt idx="1">
                  <c:v>Wind</c:v>
                </c:pt>
                <c:pt idx="2">
                  <c:v>Bioenergy</c:v>
                </c:pt>
                <c:pt idx="3">
                  <c:v>Solar</c:v>
                </c:pt>
                <c:pt idx="4">
                  <c:v>Geothermal</c:v>
                </c:pt>
              </c:strCache>
            </c:strRef>
          </c:cat>
          <c:val>
            <c:numRef>
              <c:f>Sheet3!$B$1:$B$5</c:f>
              <c:numCache>
                <c:formatCode>0%</c:formatCode>
                <c:ptCount val="5"/>
                <c:pt idx="0">
                  <c:v>0.65</c:v>
                </c:pt>
                <c:pt idx="1">
                  <c:v>0.18</c:v>
                </c:pt>
                <c:pt idx="2">
                  <c:v>0.08</c:v>
                </c:pt>
                <c:pt idx="3">
                  <c:v>7.0000000000000007E-2</c:v>
                </c:pt>
                <c:pt idx="4">
                  <c:v>0.02</c:v>
                </c:pt>
              </c:numCache>
            </c:numRef>
          </c:val>
          <c:extLst>
            <c:ext xmlns:c16="http://schemas.microsoft.com/office/drawing/2014/chart" uri="{C3380CC4-5D6E-409C-BE32-E72D297353CC}">
              <c16:uniqueId val="{0000000A-1E52-46E2-933B-953034B37EE8}"/>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17947735130894615"/>
          <c:y val="0.79122584607286195"/>
          <c:w val="0.67424330999215509"/>
          <c:h val="9.401180005702630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1"/>
              <a:t>Ilość elektrowni</a:t>
            </a:r>
            <a:r>
              <a:rPr lang="pl-PL" sz="1400" b="1" baseline="0"/>
              <a:t> wodnych , dane na </a:t>
            </a:r>
            <a:r>
              <a:rPr lang="pl-PL" sz="1400" b="1"/>
              <a:t>2019 roku </a:t>
            </a:r>
            <a:endParaRPr lang="en-GB" sz="1400" b="1"/>
          </a:p>
        </c:rich>
      </c:tx>
      <c:layout>
        <c:manualLayout>
          <c:xMode val="edge"/>
          <c:yMode val="edge"/>
          <c:x val="0.27203455818022748"/>
          <c:y val="5.0925925925925923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manualLayout>
          <c:layoutTarget val="inner"/>
          <c:xMode val="edge"/>
          <c:yMode val="edge"/>
          <c:x val="0.40689610673665788"/>
          <c:y val="0.19949074074074077"/>
          <c:w val="0.42787467191601047"/>
          <c:h val="0.71312445319335083"/>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DEC-43AC-84CE-AAED30B485D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DEC-43AC-84CE-AAED30B485D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ADEC-43AC-84CE-AAED30B485D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ADEC-43AC-84CE-AAED30B485D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ADEC-43AC-84CE-AAED30B485DE}"/>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ADEC-43AC-84CE-AAED30B485DE}"/>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ADEC-43AC-84CE-AAED30B485DE}"/>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ADEC-43AC-84CE-AAED30B485DE}"/>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bg1"/>
                    </a:solidFill>
                    <a:latin typeface="+mn-lt"/>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Sheet4!$A$1:$A$8</c:f>
              <c:strCache>
                <c:ptCount val="8"/>
                <c:pt idx="0">
                  <c:v>China</c:v>
                </c:pt>
                <c:pt idx="1">
                  <c:v>Brazil</c:v>
                </c:pt>
                <c:pt idx="2">
                  <c:v>United States</c:v>
                </c:pt>
                <c:pt idx="3">
                  <c:v>Canada</c:v>
                </c:pt>
                <c:pt idx="4">
                  <c:v>Japan</c:v>
                </c:pt>
                <c:pt idx="5">
                  <c:v>India</c:v>
                </c:pt>
                <c:pt idx="6">
                  <c:v>Russia</c:v>
                </c:pt>
                <c:pt idx="7">
                  <c:v>Rest of the world</c:v>
                </c:pt>
              </c:strCache>
            </c:strRef>
          </c:cat>
          <c:val>
            <c:numRef>
              <c:f>Sheet4!$B$1:$B$8</c:f>
              <c:numCache>
                <c:formatCode>General</c:formatCode>
                <c:ptCount val="8"/>
                <c:pt idx="0">
                  <c:v>352</c:v>
                </c:pt>
                <c:pt idx="1">
                  <c:v>104</c:v>
                </c:pt>
                <c:pt idx="2">
                  <c:v>103</c:v>
                </c:pt>
                <c:pt idx="3">
                  <c:v>81</c:v>
                </c:pt>
                <c:pt idx="4">
                  <c:v>50</c:v>
                </c:pt>
                <c:pt idx="5">
                  <c:v>50</c:v>
                </c:pt>
                <c:pt idx="6">
                  <c:v>49</c:v>
                </c:pt>
                <c:pt idx="7">
                  <c:v>503</c:v>
                </c:pt>
              </c:numCache>
            </c:numRef>
          </c:val>
          <c:extLst>
            <c:ext xmlns:c16="http://schemas.microsoft.com/office/drawing/2014/chart" uri="{C3380CC4-5D6E-409C-BE32-E72D297353CC}">
              <c16:uniqueId val="{00000010-ADEC-43AC-84CE-AAED30B485DE}"/>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layout>
        <c:manualLayout>
          <c:xMode val="edge"/>
          <c:yMode val="edge"/>
          <c:x val="1.9444444444444445E-2"/>
          <c:y val="7.0022601341498986E-2"/>
          <c:w val="0.27777777777777779"/>
          <c:h val="0.8605329542140566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b="1"/>
              <a:t>Koszt panelu fotowoltaicznego </a:t>
            </a:r>
            <a:r>
              <a:rPr lang="en-GB" b="1"/>
              <a:t>(</a:t>
            </a:r>
            <a:r>
              <a:rPr lang="pl-PL" b="1"/>
              <a:t>1976-2016)</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'solar-pv-prices'!$B$1</c:f>
              <c:strCache>
                <c:ptCount val="1"/>
                <c:pt idx="0">
                  <c:v>Solar PV Module Cost (2016 $ per watt-peak (2016 $/Wp))</c:v>
                </c:pt>
              </c:strCache>
            </c:strRef>
          </c:tx>
          <c:spPr>
            <a:solidFill>
              <a:schemeClr val="accent1"/>
            </a:solidFill>
            <a:ln>
              <a:noFill/>
            </a:ln>
            <a:effectLst/>
          </c:spPr>
          <c:invertIfNegative val="0"/>
          <c:cat>
            <c:numRef>
              <c:f>'solar-pv-prices'!$A$2:$A$42</c:f>
              <c:numCache>
                <c:formatCode>General</c:formatCode>
                <c:ptCount val="41"/>
                <c:pt idx="0">
                  <c:v>1976</c:v>
                </c:pt>
                <c:pt idx="1">
                  <c:v>1977</c:v>
                </c:pt>
                <c:pt idx="2">
                  <c:v>1978</c:v>
                </c:pt>
                <c:pt idx="3">
                  <c:v>1979</c:v>
                </c:pt>
                <c:pt idx="4">
                  <c:v>1980</c:v>
                </c:pt>
                <c:pt idx="5">
                  <c:v>1981</c:v>
                </c:pt>
                <c:pt idx="6">
                  <c:v>1982</c:v>
                </c:pt>
                <c:pt idx="7">
                  <c:v>1983</c:v>
                </c:pt>
                <c:pt idx="8">
                  <c:v>1984</c:v>
                </c:pt>
                <c:pt idx="9">
                  <c:v>1985</c:v>
                </c:pt>
                <c:pt idx="10">
                  <c:v>1986</c:v>
                </c:pt>
                <c:pt idx="11">
                  <c:v>1987</c:v>
                </c:pt>
                <c:pt idx="12">
                  <c:v>1988</c:v>
                </c:pt>
                <c:pt idx="13">
                  <c:v>1989</c:v>
                </c:pt>
                <c:pt idx="14">
                  <c:v>1990</c:v>
                </c:pt>
                <c:pt idx="15">
                  <c:v>1991</c:v>
                </c:pt>
                <c:pt idx="16">
                  <c:v>1992</c:v>
                </c:pt>
                <c:pt idx="17">
                  <c:v>1993</c:v>
                </c:pt>
                <c:pt idx="18">
                  <c:v>1994</c:v>
                </c:pt>
                <c:pt idx="19">
                  <c:v>1995</c:v>
                </c:pt>
                <c:pt idx="20">
                  <c:v>1996</c:v>
                </c:pt>
                <c:pt idx="21">
                  <c:v>1997</c:v>
                </c:pt>
                <c:pt idx="22">
                  <c:v>1998</c:v>
                </c:pt>
                <c:pt idx="23">
                  <c:v>1999</c:v>
                </c:pt>
                <c:pt idx="24">
                  <c:v>2000</c:v>
                </c:pt>
                <c:pt idx="25">
                  <c:v>2001</c:v>
                </c:pt>
                <c:pt idx="26">
                  <c:v>2002</c:v>
                </c:pt>
                <c:pt idx="27">
                  <c:v>2003</c:v>
                </c:pt>
                <c:pt idx="28">
                  <c:v>2004</c:v>
                </c:pt>
                <c:pt idx="29">
                  <c:v>2005</c:v>
                </c:pt>
                <c:pt idx="30">
                  <c:v>2006</c:v>
                </c:pt>
                <c:pt idx="31">
                  <c:v>2007</c:v>
                </c:pt>
                <c:pt idx="32">
                  <c:v>2008</c:v>
                </c:pt>
                <c:pt idx="33">
                  <c:v>2009</c:v>
                </c:pt>
                <c:pt idx="34">
                  <c:v>2010</c:v>
                </c:pt>
                <c:pt idx="35">
                  <c:v>2011</c:v>
                </c:pt>
                <c:pt idx="36">
                  <c:v>2012</c:v>
                </c:pt>
                <c:pt idx="37">
                  <c:v>2013</c:v>
                </c:pt>
                <c:pt idx="38">
                  <c:v>2014</c:v>
                </c:pt>
                <c:pt idx="39">
                  <c:v>2015</c:v>
                </c:pt>
                <c:pt idx="40">
                  <c:v>2016</c:v>
                </c:pt>
              </c:numCache>
            </c:numRef>
          </c:cat>
          <c:val>
            <c:numRef>
              <c:f>'solar-pv-prices'!$B$2:$B$42</c:f>
              <c:numCache>
                <c:formatCode>General</c:formatCode>
                <c:ptCount val="41"/>
                <c:pt idx="0">
                  <c:v>66.104835089999995</c:v>
                </c:pt>
                <c:pt idx="1">
                  <c:v>46.440539190000003</c:v>
                </c:pt>
                <c:pt idx="2">
                  <c:v>33.282687770000003</c:v>
                </c:pt>
                <c:pt idx="3">
                  <c:v>29.69249275</c:v>
                </c:pt>
                <c:pt idx="4">
                  <c:v>23.755360759999999</c:v>
                </c:pt>
                <c:pt idx="5">
                  <c:v>17.918799719999999</c:v>
                </c:pt>
                <c:pt idx="6">
                  <c:v>18.032817779999998</c:v>
                </c:pt>
                <c:pt idx="7">
                  <c:v>16.843944430000001</c:v>
                </c:pt>
                <c:pt idx="8">
                  <c:v>13.717773490000001</c:v>
                </c:pt>
                <c:pt idx="9">
                  <c:v>12.49436648</c:v>
                </c:pt>
                <c:pt idx="10">
                  <c:v>11.688438</c:v>
                </c:pt>
                <c:pt idx="11">
                  <c:v>9.801145644</c:v>
                </c:pt>
                <c:pt idx="12">
                  <c:v>9.7328734630000007</c:v>
                </c:pt>
                <c:pt idx="13">
                  <c:v>9.7899546500000003</c:v>
                </c:pt>
                <c:pt idx="14">
                  <c:v>10.009798719999999</c:v>
                </c:pt>
                <c:pt idx="15">
                  <c:v>9.2940414239999996</c:v>
                </c:pt>
                <c:pt idx="16">
                  <c:v>8.7790856529999992</c:v>
                </c:pt>
                <c:pt idx="17">
                  <c:v>7.8227451410000004</c:v>
                </c:pt>
                <c:pt idx="18">
                  <c:v>7.6450519779999997</c:v>
                </c:pt>
                <c:pt idx="19">
                  <c:v>7.0702964640000001</c:v>
                </c:pt>
                <c:pt idx="20">
                  <c:v>5.880830563</c:v>
                </c:pt>
                <c:pt idx="21">
                  <c:v>5.8235685630000003</c:v>
                </c:pt>
                <c:pt idx="22">
                  <c:v>4.8927918330000004</c:v>
                </c:pt>
                <c:pt idx="23">
                  <c:v>4.4797167160000004</c:v>
                </c:pt>
                <c:pt idx="24">
                  <c:v>3.650031142</c:v>
                </c:pt>
                <c:pt idx="25">
                  <c:v>3.4387699550000002</c:v>
                </c:pt>
                <c:pt idx="26">
                  <c:v>3.5146111150000001</c:v>
                </c:pt>
                <c:pt idx="27">
                  <c:v>3.3207727519999999</c:v>
                </c:pt>
                <c:pt idx="28">
                  <c:v>3.5367933210000002</c:v>
                </c:pt>
                <c:pt idx="29">
                  <c:v>3.5801574239999998</c:v>
                </c:pt>
                <c:pt idx="30">
                  <c:v>3.8859214020000001</c:v>
                </c:pt>
                <c:pt idx="31">
                  <c:v>3.9080588490000001</c:v>
                </c:pt>
                <c:pt idx="32">
                  <c:v>3.5588564229999999</c:v>
                </c:pt>
                <c:pt idx="33">
                  <c:v>2.3692676000000001</c:v>
                </c:pt>
                <c:pt idx="34">
                  <c:v>1.589153601</c:v>
                </c:pt>
                <c:pt idx="35">
                  <c:v>1.441280262</c:v>
                </c:pt>
                <c:pt idx="36">
                  <c:v>0.77472840799999998</c:v>
                </c:pt>
                <c:pt idx="37">
                  <c:v>0.82330228400000005</c:v>
                </c:pt>
                <c:pt idx="38">
                  <c:v>0.71</c:v>
                </c:pt>
                <c:pt idx="39">
                  <c:v>0.66</c:v>
                </c:pt>
                <c:pt idx="40">
                  <c:v>0.62</c:v>
                </c:pt>
              </c:numCache>
            </c:numRef>
          </c:val>
          <c:extLst>
            <c:ext xmlns:c16="http://schemas.microsoft.com/office/drawing/2014/chart" uri="{C3380CC4-5D6E-409C-BE32-E72D297353CC}">
              <c16:uniqueId val="{00000000-4C1A-4BFA-9370-937EAB90E4D0}"/>
            </c:ext>
          </c:extLst>
        </c:ser>
        <c:dLbls>
          <c:showLegendKey val="0"/>
          <c:showVal val="0"/>
          <c:showCatName val="0"/>
          <c:showSerName val="0"/>
          <c:showPercent val="0"/>
          <c:showBubbleSize val="0"/>
        </c:dLbls>
        <c:gapWidth val="219"/>
        <c:overlap val="-27"/>
        <c:axId val="-1751055264"/>
        <c:axId val="-1751069408"/>
      </c:barChart>
      <c:catAx>
        <c:axId val="-17510552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69408"/>
        <c:crosses val="autoZero"/>
        <c:auto val="1"/>
        <c:lblAlgn val="ctr"/>
        <c:lblOffset val="100"/>
        <c:noMultiLvlLbl val="0"/>
      </c:catAx>
      <c:valAx>
        <c:axId val="-175106940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5526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b="1"/>
              <a:t>Światowe trendy w inwestycjach</a:t>
            </a:r>
            <a:r>
              <a:rPr lang="pl-PL" b="1" baseline="0"/>
              <a:t> odnawialnych</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stacked"/>
        <c:varyColors val="0"/>
        <c:ser>
          <c:idx val="0"/>
          <c:order val="0"/>
          <c:tx>
            <c:strRef>
              <c:f>Sheet1!$D$2</c:f>
              <c:strCache>
                <c:ptCount val="1"/>
                <c:pt idx="0">
                  <c:v>Biomass &amp; Waste-to-Energy</c:v>
                </c:pt>
              </c:strCache>
            </c:strRef>
          </c:tx>
          <c:spPr>
            <a:solidFill>
              <a:schemeClr val="accent1"/>
            </a:solidFill>
            <a:ln>
              <a:noFill/>
            </a:ln>
            <a:effectLst/>
          </c:spPr>
          <c:invertIfNegative val="0"/>
          <c:cat>
            <c:numRef>
              <c:f>Sheet1!$E$1:$S$1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Sheet1!$E$2:$S$2</c:f>
              <c:numCache>
                <c:formatCode>General</c:formatCode>
                <c:ptCount val="15"/>
                <c:pt idx="0">
                  <c:v>7.9</c:v>
                </c:pt>
                <c:pt idx="1">
                  <c:v>9.3000000000000007</c:v>
                </c:pt>
                <c:pt idx="2">
                  <c:v>12</c:v>
                </c:pt>
                <c:pt idx="3">
                  <c:v>15.9</c:v>
                </c:pt>
                <c:pt idx="4">
                  <c:v>16.2</c:v>
                </c:pt>
                <c:pt idx="5">
                  <c:v>13.4</c:v>
                </c:pt>
                <c:pt idx="6">
                  <c:v>17.3</c:v>
                </c:pt>
                <c:pt idx="7">
                  <c:v>20.9</c:v>
                </c:pt>
                <c:pt idx="8">
                  <c:v>15.4</c:v>
                </c:pt>
                <c:pt idx="9">
                  <c:v>14.6</c:v>
                </c:pt>
                <c:pt idx="10">
                  <c:v>12.9</c:v>
                </c:pt>
                <c:pt idx="11">
                  <c:v>10.3</c:v>
                </c:pt>
                <c:pt idx="12">
                  <c:v>13.6</c:v>
                </c:pt>
                <c:pt idx="13">
                  <c:v>5.7</c:v>
                </c:pt>
                <c:pt idx="14">
                  <c:v>9.3000000000000007</c:v>
                </c:pt>
              </c:numCache>
            </c:numRef>
          </c:val>
          <c:extLst>
            <c:ext xmlns:c16="http://schemas.microsoft.com/office/drawing/2014/chart" uri="{C3380CC4-5D6E-409C-BE32-E72D297353CC}">
              <c16:uniqueId val="{00000000-6475-48D6-A590-FBE75AA49313}"/>
            </c:ext>
          </c:extLst>
        </c:ser>
        <c:ser>
          <c:idx val="1"/>
          <c:order val="1"/>
          <c:tx>
            <c:strRef>
              <c:f>Sheet1!$D$3</c:f>
              <c:strCache>
                <c:ptCount val="1"/>
                <c:pt idx="0">
                  <c:v>Geothermal energy</c:v>
                </c:pt>
              </c:strCache>
            </c:strRef>
          </c:tx>
          <c:spPr>
            <a:solidFill>
              <a:schemeClr val="accent2"/>
            </a:solidFill>
            <a:ln>
              <a:noFill/>
            </a:ln>
            <a:effectLst/>
          </c:spPr>
          <c:invertIfNegative val="0"/>
          <c:cat>
            <c:numRef>
              <c:f>Sheet1!$E$1:$S$1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Sheet1!$E$3:$S$3</c:f>
              <c:numCache>
                <c:formatCode>General</c:formatCode>
                <c:ptCount val="15"/>
                <c:pt idx="0">
                  <c:v>1.1000000000000001</c:v>
                </c:pt>
                <c:pt idx="1">
                  <c:v>0.8</c:v>
                </c:pt>
                <c:pt idx="2">
                  <c:v>1.3</c:v>
                </c:pt>
                <c:pt idx="3">
                  <c:v>1.7</c:v>
                </c:pt>
                <c:pt idx="4">
                  <c:v>1.7</c:v>
                </c:pt>
                <c:pt idx="5">
                  <c:v>2.5</c:v>
                </c:pt>
                <c:pt idx="6">
                  <c:v>2.8</c:v>
                </c:pt>
                <c:pt idx="7">
                  <c:v>3.8</c:v>
                </c:pt>
                <c:pt idx="8">
                  <c:v>1.7</c:v>
                </c:pt>
                <c:pt idx="9">
                  <c:v>2.7</c:v>
                </c:pt>
                <c:pt idx="10">
                  <c:v>2.9</c:v>
                </c:pt>
                <c:pt idx="11">
                  <c:v>2.5</c:v>
                </c:pt>
                <c:pt idx="12">
                  <c:v>2.7</c:v>
                </c:pt>
                <c:pt idx="13">
                  <c:v>2.2999999999999998</c:v>
                </c:pt>
                <c:pt idx="14">
                  <c:v>2.2999999999999998</c:v>
                </c:pt>
              </c:numCache>
            </c:numRef>
          </c:val>
          <c:extLst>
            <c:ext xmlns:c16="http://schemas.microsoft.com/office/drawing/2014/chart" uri="{C3380CC4-5D6E-409C-BE32-E72D297353CC}">
              <c16:uniqueId val="{00000001-6475-48D6-A590-FBE75AA49313}"/>
            </c:ext>
          </c:extLst>
        </c:ser>
        <c:ser>
          <c:idx val="2"/>
          <c:order val="2"/>
          <c:tx>
            <c:strRef>
              <c:f>Sheet1!$D$4</c:f>
              <c:strCache>
                <c:ptCount val="1"/>
                <c:pt idx="0">
                  <c:v>Liquid Biofuels</c:v>
                </c:pt>
              </c:strCache>
            </c:strRef>
          </c:tx>
          <c:spPr>
            <a:solidFill>
              <a:schemeClr val="accent3"/>
            </a:solidFill>
            <a:ln>
              <a:noFill/>
            </a:ln>
            <a:effectLst/>
          </c:spPr>
          <c:invertIfNegative val="0"/>
          <c:cat>
            <c:numRef>
              <c:f>Sheet1!$E$1:$S$1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Sheet1!$E$4:$S$4</c:f>
              <c:numCache>
                <c:formatCode>General</c:formatCode>
                <c:ptCount val="15"/>
                <c:pt idx="0">
                  <c:v>3.9</c:v>
                </c:pt>
                <c:pt idx="1">
                  <c:v>9.8000000000000007</c:v>
                </c:pt>
                <c:pt idx="2">
                  <c:v>26.2</c:v>
                </c:pt>
                <c:pt idx="3">
                  <c:v>26.4</c:v>
                </c:pt>
                <c:pt idx="4">
                  <c:v>17.600000000000001</c:v>
                </c:pt>
                <c:pt idx="5">
                  <c:v>9.4</c:v>
                </c:pt>
                <c:pt idx="6">
                  <c:v>10.1</c:v>
                </c:pt>
                <c:pt idx="7">
                  <c:v>10.4</c:v>
                </c:pt>
                <c:pt idx="8">
                  <c:v>7.7</c:v>
                </c:pt>
                <c:pt idx="9">
                  <c:v>5.0999999999999996</c:v>
                </c:pt>
                <c:pt idx="10">
                  <c:v>5.5</c:v>
                </c:pt>
                <c:pt idx="11">
                  <c:v>3.6</c:v>
                </c:pt>
                <c:pt idx="12">
                  <c:v>2.1</c:v>
                </c:pt>
                <c:pt idx="13">
                  <c:v>3.2</c:v>
                </c:pt>
                <c:pt idx="14">
                  <c:v>3</c:v>
                </c:pt>
              </c:numCache>
            </c:numRef>
          </c:val>
          <c:extLst>
            <c:ext xmlns:c16="http://schemas.microsoft.com/office/drawing/2014/chart" uri="{C3380CC4-5D6E-409C-BE32-E72D297353CC}">
              <c16:uniqueId val="{00000002-6475-48D6-A590-FBE75AA49313}"/>
            </c:ext>
          </c:extLst>
        </c:ser>
        <c:ser>
          <c:idx val="3"/>
          <c:order val="3"/>
          <c:tx>
            <c:strRef>
              <c:f>Sheet1!$D$5</c:f>
              <c:strCache>
                <c:ptCount val="1"/>
                <c:pt idx="0">
                  <c:v>Small hydropower</c:v>
                </c:pt>
              </c:strCache>
            </c:strRef>
          </c:tx>
          <c:spPr>
            <a:solidFill>
              <a:schemeClr val="accent4"/>
            </a:solidFill>
            <a:ln>
              <a:noFill/>
            </a:ln>
            <a:effectLst/>
          </c:spPr>
          <c:invertIfNegative val="0"/>
          <c:cat>
            <c:numRef>
              <c:f>Sheet1!$E$1:$S$1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Sheet1!$E$5:$S$5</c:f>
              <c:numCache>
                <c:formatCode>General</c:formatCode>
                <c:ptCount val="15"/>
                <c:pt idx="0">
                  <c:v>2.8</c:v>
                </c:pt>
                <c:pt idx="1">
                  <c:v>7.4</c:v>
                </c:pt>
                <c:pt idx="2">
                  <c:v>6.8</c:v>
                </c:pt>
                <c:pt idx="3">
                  <c:v>6.4</c:v>
                </c:pt>
                <c:pt idx="4">
                  <c:v>7.6</c:v>
                </c:pt>
                <c:pt idx="5">
                  <c:v>5.9</c:v>
                </c:pt>
                <c:pt idx="6">
                  <c:v>8.1999999999999993</c:v>
                </c:pt>
                <c:pt idx="7">
                  <c:v>7.7</c:v>
                </c:pt>
                <c:pt idx="8">
                  <c:v>6.3</c:v>
                </c:pt>
                <c:pt idx="9">
                  <c:v>58.7</c:v>
                </c:pt>
                <c:pt idx="10">
                  <c:v>7.4</c:v>
                </c:pt>
                <c:pt idx="11">
                  <c:v>4</c:v>
                </c:pt>
                <c:pt idx="12">
                  <c:v>4.4000000000000004</c:v>
                </c:pt>
                <c:pt idx="13">
                  <c:v>3.8</c:v>
                </c:pt>
                <c:pt idx="14">
                  <c:v>0.9</c:v>
                </c:pt>
              </c:numCache>
            </c:numRef>
          </c:val>
          <c:extLst>
            <c:ext xmlns:c16="http://schemas.microsoft.com/office/drawing/2014/chart" uri="{C3380CC4-5D6E-409C-BE32-E72D297353CC}">
              <c16:uniqueId val="{00000003-6475-48D6-A590-FBE75AA49313}"/>
            </c:ext>
          </c:extLst>
        </c:ser>
        <c:ser>
          <c:idx val="4"/>
          <c:order val="4"/>
          <c:tx>
            <c:strRef>
              <c:f>Sheet1!$D$6</c:f>
              <c:strCache>
                <c:ptCount val="1"/>
                <c:pt idx="0">
                  <c:v>Solar Energy</c:v>
                </c:pt>
              </c:strCache>
            </c:strRef>
          </c:tx>
          <c:spPr>
            <a:solidFill>
              <a:srgbClr val="FFFF00"/>
            </a:solidFill>
            <a:ln>
              <a:noFill/>
            </a:ln>
            <a:effectLst/>
          </c:spPr>
          <c:invertIfNegative val="0"/>
          <c:cat>
            <c:numRef>
              <c:f>Sheet1!$E$1:$S$1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Sheet1!$E$6:$S$6</c:f>
              <c:numCache>
                <c:formatCode>General</c:formatCode>
                <c:ptCount val="15"/>
                <c:pt idx="0">
                  <c:v>10.7</c:v>
                </c:pt>
                <c:pt idx="1">
                  <c:v>15.3</c:v>
                </c:pt>
                <c:pt idx="2">
                  <c:v>21.5</c:v>
                </c:pt>
                <c:pt idx="3">
                  <c:v>37.5</c:v>
                </c:pt>
                <c:pt idx="4">
                  <c:v>60.3</c:v>
                </c:pt>
                <c:pt idx="5">
                  <c:v>63.4</c:v>
                </c:pt>
                <c:pt idx="6">
                  <c:v>101.7</c:v>
                </c:pt>
                <c:pt idx="7">
                  <c:v>158.80000000000001</c:v>
                </c:pt>
                <c:pt idx="8">
                  <c:v>142.9</c:v>
                </c:pt>
                <c:pt idx="9">
                  <c:v>121.4</c:v>
                </c:pt>
                <c:pt idx="10">
                  <c:v>148</c:v>
                </c:pt>
                <c:pt idx="11">
                  <c:v>176.2</c:v>
                </c:pt>
                <c:pt idx="12">
                  <c:v>146.30000000000001</c:v>
                </c:pt>
                <c:pt idx="13">
                  <c:v>180</c:v>
                </c:pt>
                <c:pt idx="14">
                  <c:v>141.1</c:v>
                </c:pt>
              </c:numCache>
            </c:numRef>
          </c:val>
          <c:extLst>
            <c:ext xmlns:c16="http://schemas.microsoft.com/office/drawing/2014/chart" uri="{C3380CC4-5D6E-409C-BE32-E72D297353CC}">
              <c16:uniqueId val="{00000004-6475-48D6-A590-FBE75AA49313}"/>
            </c:ext>
          </c:extLst>
        </c:ser>
        <c:ser>
          <c:idx val="5"/>
          <c:order val="5"/>
          <c:tx>
            <c:strRef>
              <c:f>Sheet1!$D$7</c:f>
              <c:strCache>
                <c:ptCount val="1"/>
                <c:pt idx="0">
                  <c:v>Tide, Wave and Ocean Energy</c:v>
                </c:pt>
              </c:strCache>
            </c:strRef>
          </c:tx>
          <c:spPr>
            <a:solidFill>
              <a:srgbClr val="00B0F0"/>
            </a:solidFill>
            <a:ln>
              <a:noFill/>
            </a:ln>
            <a:effectLst/>
          </c:spPr>
          <c:invertIfNegative val="0"/>
          <c:cat>
            <c:numRef>
              <c:f>Sheet1!$E$1:$S$1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Sheet1!$E$7:$S$7</c:f>
              <c:numCache>
                <c:formatCode>General</c:formatCode>
                <c:ptCount val="15"/>
                <c:pt idx="0">
                  <c:v>0</c:v>
                </c:pt>
                <c:pt idx="1">
                  <c:v>0.1</c:v>
                </c:pt>
                <c:pt idx="2">
                  <c:v>0.1</c:v>
                </c:pt>
                <c:pt idx="3">
                  <c:v>0.7</c:v>
                </c:pt>
                <c:pt idx="4">
                  <c:v>0.2</c:v>
                </c:pt>
                <c:pt idx="5">
                  <c:v>0.3</c:v>
                </c:pt>
                <c:pt idx="6">
                  <c:v>0.3</c:v>
                </c:pt>
                <c:pt idx="7">
                  <c:v>0.3</c:v>
                </c:pt>
                <c:pt idx="8">
                  <c:v>0.3</c:v>
                </c:pt>
                <c:pt idx="9">
                  <c:v>0.2</c:v>
                </c:pt>
                <c:pt idx="10">
                  <c:v>0.4</c:v>
                </c:pt>
                <c:pt idx="11">
                  <c:v>0.2</c:v>
                </c:pt>
                <c:pt idx="12">
                  <c:v>0.2</c:v>
                </c:pt>
                <c:pt idx="13">
                  <c:v>0.2</c:v>
                </c:pt>
                <c:pt idx="14">
                  <c:v>0.2</c:v>
                </c:pt>
              </c:numCache>
            </c:numRef>
          </c:val>
          <c:extLst>
            <c:ext xmlns:c16="http://schemas.microsoft.com/office/drawing/2014/chart" uri="{C3380CC4-5D6E-409C-BE32-E72D297353CC}">
              <c16:uniqueId val="{00000005-6475-48D6-A590-FBE75AA49313}"/>
            </c:ext>
          </c:extLst>
        </c:ser>
        <c:ser>
          <c:idx val="6"/>
          <c:order val="6"/>
          <c:tx>
            <c:strRef>
              <c:f>Sheet1!$D$8</c:f>
              <c:strCache>
                <c:ptCount val="1"/>
                <c:pt idx="0">
                  <c:v>Wind Energy</c:v>
                </c:pt>
              </c:strCache>
            </c:strRef>
          </c:tx>
          <c:spPr>
            <a:solidFill>
              <a:srgbClr val="00B050"/>
            </a:solidFill>
            <a:ln>
              <a:noFill/>
            </a:ln>
            <a:effectLst/>
          </c:spPr>
          <c:invertIfNegative val="0"/>
          <c:cat>
            <c:numRef>
              <c:f>Sheet1!$E$1:$S$1</c:f>
              <c:numCache>
                <c:formatCode>General</c:formatCode>
                <c:ptCount val="15"/>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numCache>
            </c:numRef>
          </c:cat>
          <c:val>
            <c:numRef>
              <c:f>Sheet1!$E$8:$S$8</c:f>
              <c:numCache>
                <c:formatCode>General</c:formatCode>
                <c:ptCount val="15"/>
                <c:pt idx="0">
                  <c:v>18.899999999999999</c:v>
                </c:pt>
                <c:pt idx="1">
                  <c:v>27.3</c:v>
                </c:pt>
                <c:pt idx="2">
                  <c:v>36.299999999999997</c:v>
                </c:pt>
                <c:pt idx="3">
                  <c:v>59.1</c:v>
                </c:pt>
                <c:pt idx="4">
                  <c:v>73.900000000000006</c:v>
                </c:pt>
                <c:pt idx="5">
                  <c:v>73.3</c:v>
                </c:pt>
                <c:pt idx="6">
                  <c:v>98.3</c:v>
                </c:pt>
                <c:pt idx="7">
                  <c:v>84.7</c:v>
                </c:pt>
                <c:pt idx="8">
                  <c:v>77.900000000000006</c:v>
                </c:pt>
                <c:pt idx="9">
                  <c:v>83.2</c:v>
                </c:pt>
                <c:pt idx="10">
                  <c:v>110.7</c:v>
                </c:pt>
                <c:pt idx="11">
                  <c:v>121.5</c:v>
                </c:pt>
                <c:pt idx="12">
                  <c:v>124.9</c:v>
                </c:pt>
                <c:pt idx="13">
                  <c:v>129.69999999999999</c:v>
                </c:pt>
                <c:pt idx="14">
                  <c:v>131.5</c:v>
                </c:pt>
              </c:numCache>
            </c:numRef>
          </c:val>
          <c:extLst>
            <c:ext xmlns:c16="http://schemas.microsoft.com/office/drawing/2014/chart" uri="{C3380CC4-5D6E-409C-BE32-E72D297353CC}">
              <c16:uniqueId val="{00000006-6475-48D6-A590-FBE75AA49313}"/>
            </c:ext>
          </c:extLst>
        </c:ser>
        <c:dLbls>
          <c:showLegendKey val="0"/>
          <c:showVal val="0"/>
          <c:showCatName val="0"/>
          <c:showSerName val="0"/>
          <c:showPercent val="0"/>
          <c:showBubbleSize val="0"/>
        </c:dLbls>
        <c:gapWidth val="150"/>
        <c:overlap val="100"/>
        <c:axId val="-1751054720"/>
        <c:axId val="-1751043296"/>
      </c:barChart>
      <c:catAx>
        <c:axId val="-1751054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43296"/>
        <c:crosses val="autoZero"/>
        <c:auto val="1"/>
        <c:lblAlgn val="ctr"/>
        <c:lblOffset val="100"/>
        <c:noMultiLvlLbl val="0"/>
      </c:catAx>
      <c:valAx>
        <c:axId val="-17510432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54720"/>
        <c:crosses val="autoZero"/>
        <c:crossBetween val="between"/>
      </c:valAx>
      <c:spPr>
        <a:noFill/>
        <a:ln w="0">
          <a:solidFill>
            <a:schemeClr val="accent1"/>
          </a:solid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b="1"/>
              <a:t>Produkcja biopaliwa,</a:t>
            </a:r>
            <a:r>
              <a:rPr lang="pl-PL" b="1" baseline="0"/>
              <a:t> w podziale na regiony</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areaChart>
        <c:grouping val="stacked"/>
        <c:varyColors val="0"/>
        <c:ser>
          <c:idx val="0"/>
          <c:order val="0"/>
          <c:tx>
            <c:strRef>
              <c:f>'biofuel-production'!$G$2</c:f>
              <c:strCache>
                <c:ptCount val="1"/>
                <c:pt idx="0">
                  <c:v>Africa</c:v>
                </c:pt>
              </c:strCache>
            </c:strRef>
          </c:tx>
          <c:spPr>
            <a:solidFill>
              <a:schemeClr val="accent1"/>
            </a:solidFill>
            <a:ln>
              <a:noFill/>
            </a:ln>
            <a:effectLst/>
          </c:spPr>
          <c:cat>
            <c:numRef>
              <c:f>'biofuel-production'!$H$1:$AJ$1</c:f>
              <c:numCache>
                <c:formatCode>General</c:formatCode>
                <c:ptCount val="29"/>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pt idx="27">
                  <c:v>2017</c:v>
                </c:pt>
                <c:pt idx="28">
                  <c:v>2018</c:v>
                </c:pt>
              </c:numCache>
            </c:numRef>
          </c:cat>
          <c:val>
            <c:numRef>
              <c:f>'biofuel-production'!$H$2:$AJ$2</c:f>
              <c:numCache>
                <c:formatCode>General</c:formatCode>
                <c:ptCount val="29"/>
                <c:pt idx="0">
                  <c:v>0.72457210998877697</c:v>
                </c:pt>
                <c:pt idx="1">
                  <c:v>0.72457210998877697</c:v>
                </c:pt>
                <c:pt idx="2">
                  <c:v>0.72655723905723901</c:v>
                </c:pt>
                <c:pt idx="3">
                  <c:v>0.72457210998877697</c:v>
                </c:pt>
                <c:pt idx="4">
                  <c:v>0.72457210998877697</c:v>
                </c:pt>
                <c:pt idx="5">
                  <c:v>0.72457210998877697</c:v>
                </c:pt>
                <c:pt idx="6">
                  <c:v>0.72655723905723901</c:v>
                </c:pt>
                <c:pt idx="7">
                  <c:v>1.0868581649831599</c:v>
                </c:pt>
                <c:pt idx="8">
                  <c:v>1.0868581649831599</c:v>
                </c:pt>
                <c:pt idx="9">
                  <c:v>0.72457210998877697</c:v>
                </c:pt>
                <c:pt idx="10">
                  <c:v>0.72655723905723901</c:v>
                </c:pt>
                <c:pt idx="11">
                  <c:v>0.72457210998877697</c:v>
                </c:pt>
                <c:pt idx="12">
                  <c:v>3.5655875568463999</c:v>
                </c:pt>
                <c:pt idx="13">
                  <c:v>5.0133322676413696</c:v>
                </c:pt>
                <c:pt idx="14">
                  <c:v>5.7683625147817104</c:v>
                </c:pt>
                <c:pt idx="15">
                  <c:v>6.2970254417225897</c:v>
                </c:pt>
                <c:pt idx="16">
                  <c:v>6.6856784041557704</c:v>
                </c:pt>
                <c:pt idx="17">
                  <c:v>7.0291177229416597</c:v>
                </c:pt>
                <c:pt idx="18">
                  <c:v>5.5516911489361798</c:v>
                </c:pt>
                <c:pt idx="19">
                  <c:v>33.193876195361597</c:v>
                </c:pt>
                <c:pt idx="20">
                  <c:v>34.754609832708297</c:v>
                </c:pt>
                <c:pt idx="21">
                  <c:v>37.771459911292403</c:v>
                </c:pt>
                <c:pt idx="22">
                  <c:v>26.9802652822613</c:v>
                </c:pt>
                <c:pt idx="23">
                  <c:v>27.529834623456299</c:v>
                </c:pt>
                <c:pt idx="24">
                  <c:v>31.713747858293701</c:v>
                </c:pt>
                <c:pt idx="25">
                  <c:v>41.091114857912103</c:v>
                </c:pt>
                <c:pt idx="26">
                  <c:v>50.010953387121198</c:v>
                </c:pt>
                <c:pt idx="27">
                  <c:v>50.481778791790198</c:v>
                </c:pt>
                <c:pt idx="28">
                  <c:v>50.769632708029697</c:v>
                </c:pt>
              </c:numCache>
            </c:numRef>
          </c:val>
          <c:extLst>
            <c:ext xmlns:c16="http://schemas.microsoft.com/office/drawing/2014/chart" uri="{C3380CC4-5D6E-409C-BE32-E72D297353CC}">
              <c16:uniqueId val="{00000000-9B3D-48C2-BDAA-A854792CCA33}"/>
            </c:ext>
          </c:extLst>
        </c:ser>
        <c:ser>
          <c:idx val="1"/>
          <c:order val="1"/>
          <c:tx>
            <c:strRef>
              <c:f>'biofuel-production'!$G$3</c:f>
              <c:strCache>
                <c:ptCount val="1"/>
                <c:pt idx="0">
                  <c:v>Middle East</c:v>
                </c:pt>
              </c:strCache>
            </c:strRef>
          </c:tx>
          <c:spPr>
            <a:solidFill>
              <a:schemeClr val="accent2"/>
            </a:solidFill>
            <a:ln>
              <a:noFill/>
            </a:ln>
            <a:effectLst/>
          </c:spPr>
          <c:cat>
            <c:numRef>
              <c:f>'biofuel-production'!$H$1:$AJ$1</c:f>
              <c:numCache>
                <c:formatCode>General</c:formatCode>
                <c:ptCount val="29"/>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pt idx="27">
                  <c:v>2017</c:v>
                </c:pt>
                <c:pt idx="28">
                  <c:v>2018</c:v>
                </c:pt>
              </c:numCache>
            </c:numRef>
          </c:cat>
          <c:val>
            <c:numRef>
              <c:f>'biofuel-production'!$H$3:$AJ$3</c:f>
              <c:numCache>
                <c:formatCode>General</c:formatCode>
                <c:ptCount val="29"/>
                <c:pt idx="0">
                  <c:v>0</c:v>
                </c:pt>
                <c:pt idx="1">
                  <c:v>0</c:v>
                </c:pt>
                <c:pt idx="2">
                  <c:v>0</c:v>
                </c:pt>
                <c:pt idx="3">
                  <c:v>0</c:v>
                </c:pt>
                <c:pt idx="4">
                  <c:v>0</c:v>
                </c:pt>
                <c:pt idx="5">
                  <c:v>0</c:v>
                </c:pt>
                <c:pt idx="6">
                  <c:v>0</c:v>
                </c:pt>
                <c:pt idx="7">
                  <c:v>0</c:v>
                </c:pt>
                <c:pt idx="8">
                  <c:v>0</c:v>
                </c:pt>
                <c:pt idx="9">
                  <c:v>0</c:v>
                </c:pt>
                <c:pt idx="10">
                  <c:v>0</c:v>
                </c:pt>
                <c:pt idx="11">
                  <c:v>0</c:v>
                </c:pt>
                <c:pt idx="12">
                  <c:v>0.94000627372529399</c:v>
                </c:pt>
                <c:pt idx="13">
                  <c:v>1.0461457828973699</c:v>
                </c:pt>
                <c:pt idx="14">
                  <c:v>0.85998334219677197</c:v>
                </c:pt>
                <c:pt idx="15">
                  <c:v>0</c:v>
                </c:pt>
                <c:pt idx="16">
                  <c:v>0</c:v>
                </c:pt>
                <c:pt idx="17">
                  <c:v>0</c:v>
                </c:pt>
                <c:pt idx="18">
                  <c:v>0</c:v>
                </c:pt>
                <c:pt idx="19">
                  <c:v>1.4357794874088099</c:v>
                </c:pt>
                <c:pt idx="20">
                  <c:v>1.3733539772727199</c:v>
                </c:pt>
                <c:pt idx="21">
                  <c:v>1.4982049975448899</c:v>
                </c:pt>
                <c:pt idx="22">
                  <c:v>1.6275027466330001</c:v>
                </c:pt>
                <c:pt idx="23">
                  <c:v>1.7479070380892201</c:v>
                </c:pt>
                <c:pt idx="24">
                  <c:v>1.8727580583613801</c:v>
                </c:pt>
                <c:pt idx="25">
                  <c:v>1.9976054557730101</c:v>
                </c:pt>
                <c:pt idx="26">
                  <c:v>1.8778889023569001</c:v>
                </c:pt>
                <c:pt idx="27">
                  <c:v>1.8727580583613801</c:v>
                </c:pt>
                <c:pt idx="28">
                  <c:v>1.8727580583613801</c:v>
                </c:pt>
              </c:numCache>
            </c:numRef>
          </c:val>
          <c:extLst>
            <c:ext xmlns:c16="http://schemas.microsoft.com/office/drawing/2014/chart" uri="{C3380CC4-5D6E-409C-BE32-E72D297353CC}">
              <c16:uniqueId val="{00000001-9B3D-48C2-BDAA-A854792CCA33}"/>
            </c:ext>
          </c:extLst>
        </c:ser>
        <c:ser>
          <c:idx val="2"/>
          <c:order val="2"/>
          <c:tx>
            <c:strRef>
              <c:f>'biofuel-production'!$G$4</c:f>
              <c:strCache>
                <c:ptCount val="1"/>
                <c:pt idx="0">
                  <c:v>Asia Pacific</c:v>
                </c:pt>
              </c:strCache>
            </c:strRef>
          </c:tx>
          <c:spPr>
            <a:solidFill>
              <a:schemeClr val="accent3"/>
            </a:solidFill>
            <a:ln>
              <a:noFill/>
            </a:ln>
            <a:effectLst/>
          </c:spPr>
          <c:cat>
            <c:numRef>
              <c:f>'biofuel-production'!$H$1:$AJ$1</c:f>
              <c:numCache>
                <c:formatCode>General</c:formatCode>
                <c:ptCount val="29"/>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pt idx="27">
                  <c:v>2017</c:v>
                </c:pt>
                <c:pt idx="28">
                  <c:v>2018</c:v>
                </c:pt>
              </c:numCache>
            </c:numRef>
          </c:cat>
          <c:val>
            <c:numRef>
              <c:f>'biofuel-production'!$H$4:$AJ$4</c:f>
              <c:numCache>
                <c:formatCode>General</c:formatCode>
                <c:ptCount val="29"/>
                <c:pt idx="0">
                  <c:v>0</c:v>
                </c:pt>
                <c:pt idx="1">
                  <c:v>0</c:v>
                </c:pt>
                <c:pt idx="2">
                  <c:v>0</c:v>
                </c:pt>
                <c:pt idx="3">
                  <c:v>0</c:v>
                </c:pt>
                <c:pt idx="4">
                  <c:v>0</c:v>
                </c:pt>
                <c:pt idx="5">
                  <c:v>0</c:v>
                </c:pt>
                <c:pt idx="6">
                  <c:v>0</c:v>
                </c:pt>
                <c:pt idx="7">
                  <c:v>0</c:v>
                </c:pt>
                <c:pt idx="8">
                  <c:v>0</c:v>
                </c:pt>
                <c:pt idx="9">
                  <c:v>0</c:v>
                </c:pt>
                <c:pt idx="10">
                  <c:v>10.535079966330001</c:v>
                </c:pt>
                <c:pt idx="11">
                  <c:v>11.399188281923401</c:v>
                </c:pt>
                <c:pt idx="12">
                  <c:v>30.3441844680499</c:v>
                </c:pt>
                <c:pt idx="13">
                  <c:v>66.559908597994806</c:v>
                </c:pt>
                <c:pt idx="14">
                  <c:v>68.248404129300695</c:v>
                </c:pt>
                <c:pt idx="15">
                  <c:v>108.95377495779699</c:v>
                </c:pt>
                <c:pt idx="16">
                  <c:v>177.64154797156101</c:v>
                </c:pt>
                <c:pt idx="17">
                  <c:v>239.71145845700701</c:v>
                </c:pt>
                <c:pt idx="18">
                  <c:v>381.57422118847001</c:v>
                </c:pt>
                <c:pt idx="19">
                  <c:v>395.51257486792002</c:v>
                </c:pt>
                <c:pt idx="20">
                  <c:v>436.62018986283903</c:v>
                </c:pt>
                <c:pt idx="21">
                  <c:v>676.61217773991496</c:v>
                </c:pt>
                <c:pt idx="22">
                  <c:v>829.49800020839996</c:v>
                </c:pt>
                <c:pt idx="23">
                  <c:v>982.42154968686395</c:v>
                </c:pt>
                <c:pt idx="24">
                  <c:v>1180.0291686359001</c:v>
                </c:pt>
                <c:pt idx="25">
                  <c:v>987.27096948280598</c:v>
                </c:pt>
                <c:pt idx="26">
                  <c:v>1122.7419829288799</c:v>
                </c:pt>
                <c:pt idx="27">
                  <c:v>1170.9908056511799</c:v>
                </c:pt>
                <c:pt idx="28">
                  <c:v>1620.9627875117501</c:v>
                </c:pt>
              </c:numCache>
            </c:numRef>
          </c:val>
          <c:extLst>
            <c:ext xmlns:c16="http://schemas.microsoft.com/office/drawing/2014/chart" uri="{C3380CC4-5D6E-409C-BE32-E72D297353CC}">
              <c16:uniqueId val="{00000002-9B3D-48C2-BDAA-A854792CCA33}"/>
            </c:ext>
          </c:extLst>
        </c:ser>
        <c:ser>
          <c:idx val="3"/>
          <c:order val="3"/>
          <c:tx>
            <c:strRef>
              <c:f>'biofuel-production'!$G$5</c:f>
              <c:strCache>
                <c:ptCount val="1"/>
                <c:pt idx="0">
                  <c:v>Europe</c:v>
                </c:pt>
              </c:strCache>
            </c:strRef>
          </c:tx>
          <c:spPr>
            <a:solidFill>
              <a:schemeClr val="accent4"/>
            </a:solidFill>
            <a:ln>
              <a:noFill/>
            </a:ln>
            <a:effectLst/>
          </c:spPr>
          <c:cat>
            <c:numRef>
              <c:f>'biofuel-production'!$H$1:$AJ$1</c:f>
              <c:numCache>
                <c:formatCode>General</c:formatCode>
                <c:ptCount val="29"/>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pt idx="27">
                  <c:v>2017</c:v>
                </c:pt>
                <c:pt idx="28">
                  <c:v>2018</c:v>
                </c:pt>
              </c:numCache>
            </c:numRef>
          </c:cat>
          <c:val>
            <c:numRef>
              <c:f>'biofuel-production'!$H$5:$AJ$5</c:f>
              <c:numCache>
                <c:formatCode>General</c:formatCode>
                <c:ptCount val="29"/>
                <c:pt idx="0">
                  <c:v>0.73268999999999995</c:v>
                </c:pt>
                <c:pt idx="1">
                  <c:v>0.80247000000000002</c:v>
                </c:pt>
                <c:pt idx="2">
                  <c:v>2.0241644444444402</c:v>
                </c:pt>
                <c:pt idx="3">
                  <c:v>5.0278684555555504</c:v>
                </c:pt>
                <c:pt idx="4">
                  <c:v>14.0076737555555</c:v>
                </c:pt>
                <c:pt idx="5">
                  <c:v>24.7458501777778</c:v>
                </c:pt>
                <c:pt idx="6">
                  <c:v>35.902171044444401</c:v>
                </c:pt>
                <c:pt idx="7">
                  <c:v>45.907123968353801</c:v>
                </c:pt>
                <c:pt idx="8">
                  <c:v>43.727265874162001</c:v>
                </c:pt>
                <c:pt idx="9">
                  <c:v>50.051157356799997</c:v>
                </c:pt>
                <c:pt idx="10">
                  <c:v>81.306770309271798</c:v>
                </c:pt>
                <c:pt idx="11">
                  <c:v>100.384430039824</c:v>
                </c:pt>
                <c:pt idx="12">
                  <c:v>134.51876187824899</c:v>
                </c:pt>
                <c:pt idx="13">
                  <c:v>170.067190585003</c:v>
                </c:pt>
                <c:pt idx="14">
                  <c:v>254.78605010915899</c:v>
                </c:pt>
                <c:pt idx="15">
                  <c:v>349.23272669179499</c:v>
                </c:pt>
                <c:pt idx="16">
                  <c:v>514.70326751433697</c:v>
                </c:pt>
                <c:pt idx="17">
                  <c:v>703.30512140846599</c:v>
                </c:pt>
                <c:pt idx="18">
                  <c:v>910.37470089935596</c:v>
                </c:pt>
                <c:pt idx="19">
                  <c:v>1114.61895583215</c:v>
                </c:pt>
                <c:pt idx="20">
                  <c:v>1270.6520666773399</c:v>
                </c:pt>
                <c:pt idx="21">
                  <c:v>1227.21195122723</c:v>
                </c:pt>
                <c:pt idx="22">
                  <c:v>1328.8801990622801</c:v>
                </c:pt>
                <c:pt idx="23">
                  <c:v>1457.67757650979</c:v>
                </c:pt>
                <c:pt idx="24">
                  <c:v>1606.2743499348401</c:v>
                </c:pt>
                <c:pt idx="25">
                  <c:v>1614.7570247503299</c:v>
                </c:pt>
                <c:pt idx="26">
                  <c:v>1574.8135554836699</c:v>
                </c:pt>
                <c:pt idx="27">
                  <c:v>1777.1025683190301</c:v>
                </c:pt>
                <c:pt idx="28">
                  <c:v>1854.87106577137</c:v>
                </c:pt>
              </c:numCache>
            </c:numRef>
          </c:val>
          <c:extLst>
            <c:ext xmlns:c16="http://schemas.microsoft.com/office/drawing/2014/chart" uri="{C3380CC4-5D6E-409C-BE32-E72D297353CC}">
              <c16:uniqueId val="{00000003-9B3D-48C2-BDAA-A854792CCA33}"/>
            </c:ext>
          </c:extLst>
        </c:ser>
        <c:ser>
          <c:idx val="4"/>
          <c:order val="4"/>
          <c:tx>
            <c:strRef>
              <c:f>'biofuel-production'!$G$6</c:f>
              <c:strCache>
                <c:ptCount val="1"/>
                <c:pt idx="0">
                  <c:v>South &amp;Central America</c:v>
                </c:pt>
              </c:strCache>
            </c:strRef>
          </c:tx>
          <c:spPr>
            <a:solidFill>
              <a:schemeClr val="accent5"/>
            </a:solidFill>
            <a:ln>
              <a:noFill/>
            </a:ln>
            <a:effectLst/>
          </c:spPr>
          <c:cat>
            <c:numRef>
              <c:f>'biofuel-production'!$H$1:$AJ$1</c:f>
              <c:numCache>
                <c:formatCode>General</c:formatCode>
                <c:ptCount val="29"/>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pt idx="27">
                  <c:v>2017</c:v>
                </c:pt>
                <c:pt idx="28">
                  <c:v>2018</c:v>
                </c:pt>
              </c:numCache>
            </c:numRef>
          </c:cat>
          <c:val>
            <c:numRef>
              <c:f>'biofuel-production'!$H$6:$AJ$6</c:f>
              <c:numCache>
                <c:formatCode>General</c:formatCode>
                <c:ptCount val="29"/>
                <c:pt idx="0">
                  <c:v>727.49578487376004</c:v>
                </c:pt>
                <c:pt idx="1">
                  <c:v>811.23355216871096</c:v>
                </c:pt>
                <c:pt idx="2">
                  <c:v>742.34745971319899</c:v>
                </c:pt>
                <c:pt idx="3">
                  <c:v>717.57834936311497</c:v>
                </c:pt>
                <c:pt idx="4">
                  <c:v>786.915956414167</c:v>
                </c:pt>
                <c:pt idx="5">
                  <c:v>800.85150005416097</c:v>
                </c:pt>
                <c:pt idx="6">
                  <c:v>887.24857470971006</c:v>
                </c:pt>
                <c:pt idx="7">
                  <c:v>971.72582212550299</c:v>
                </c:pt>
                <c:pt idx="8">
                  <c:v>885.227389366029</c:v>
                </c:pt>
                <c:pt idx="9">
                  <c:v>814.53431748815001</c:v>
                </c:pt>
                <c:pt idx="10">
                  <c:v>672.54487977701206</c:v>
                </c:pt>
                <c:pt idx="11">
                  <c:v>720.72120062462704</c:v>
                </c:pt>
                <c:pt idx="12">
                  <c:v>801.47625594811598</c:v>
                </c:pt>
                <c:pt idx="13">
                  <c:v>923.09817704129398</c:v>
                </c:pt>
                <c:pt idx="14">
                  <c:v>933.87241775525899</c:v>
                </c:pt>
                <c:pt idx="15">
                  <c:v>1021.2552718857399</c:v>
                </c:pt>
                <c:pt idx="16">
                  <c:v>1172.2715488072299</c:v>
                </c:pt>
                <c:pt idx="17">
                  <c:v>1532.67408024319</c:v>
                </c:pt>
                <c:pt idx="18">
                  <c:v>1954.1909305310201</c:v>
                </c:pt>
                <c:pt idx="19">
                  <c:v>1951.3455905092201</c:v>
                </c:pt>
                <c:pt idx="20">
                  <c:v>2234.5376683541799</c:v>
                </c:pt>
                <c:pt idx="21">
                  <c:v>2029.39490115541</c:v>
                </c:pt>
                <c:pt idx="22">
                  <c:v>2088.2127427727501</c:v>
                </c:pt>
                <c:pt idx="23">
                  <c:v>2353.4763339707001</c:v>
                </c:pt>
                <c:pt idx="24">
                  <c:v>2533.9728351817298</c:v>
                </c:pt>
                <c:pt idx="25">
                  <c:v>2621.8399454335099</c:v>
                </c:pt>
                <c:pt idx="26">
                  <c:v>2592.4999003197299</c:v>
                </c:pt>
                <c:pt idx="27">
                  <c:v>2628.1628355162702</c:v>
                </c:pt>
                <c:pt idx="28">
                  <c:v>2963.0573533103202</c:v>
                </c:pt>
              </c:numCache>
            </c:numRef>
          </c:val>
          <c:extLst>
            <c:ext xmlns:c16="http://schemas.microsoft.com/office/drawing/2014/chart" uri="{C3380CC4-5D6E-409C-BE32-E72D297353CC}">
              <c16:uniqueId val="{00000004-9B3D-48C2-BDAA-A854792CCA33}"/>
            </c:ext>
          </c:extLst>
        </c:ser>
        <c:ser>
          <c:idx val="5"/>
          <c:order val="5"/>
          <c:tx>
            <c:strRef>
              <c:f>'biofuel-production'!$G$7</c:f>
              <c:strCache>
                <c:ptCount val="1"/>
                <c:pt idx="0">
                  <c:v>North America</c:v>
                </c:pt>
              </c:strCache>
            </c:strRef>
          </c:tx>
          <c:spPr>
            <a:solidFill>
              <a:schemeClr val="accent6"/>
            </a:solidFill>
            <a:ln>
              <a:noFill/>
            </a:ln>
            <a:effectLst/>
          </c:spPr>
          <c:cat>
            <c:numRef>
              <c:f>'biofuel-production'!$H$1:$AJ$1</c:f>
              <c:numCache>
                <c:formatCode>General</c:formatCode>
                <c:ptCount val="29"/>
                <c:pt idx="0">
                  <c:v>1990</c:v>
                </c:pt>
                <c:pt idx="1">
                  <c:v>1991</c:v>
                </c:pt>
                <c:pt idx="2">
                  <c:v>1992</c:v>
                </c:pt>
                <c:pt idx="3">
                  <c:v>1993</c:v>
                </c:pt>
                <c:pt idx="4">
                  <c:v>1994</c:v>
                </c:pt>
                <c:pt idx="5">
                  <c:v>1995</c:v>
                </c:pt>
                <c:pt idx="6">
                  <c:v>1996</c:v>
                </c:pt>
                <c:pt idx="7">
                  <c:v>1997</c:v>
                </c:pt>
                <c:pt idx="8">
                  <c:v>1998</c:v>
                </c:pt>
                <c:pt idx="9">
                  <c:v>1999</c:v>
                </c:pt>
                <c:pt idx="10">
                  <c:v>2000</c:v>
                </c:pt>
                <c:pt idx="11">
                  <c:v>2001</c:v>
                </c:pt>
                <c:pt idx="12">
                  <c:v>2002</c:v>
                </c:pt>
                <c:pt idx="13">
                  <c:v>2003</c:v>
                </c:pt>
                <c:pt idx="14">
                  <c:v>2004</c:v>
                </c:pt>
                <c:pt idx="15">
                  <c:v>2005</c:v>
                </c:pt>
                <c:pt idx="16">
                  <c:v>2006</c:v>
                </c:pt>
                <c:pt idx="17">
                  <c:v>2007</c:v>
                </c:pt>
                <c:pt idx="18">
                  <c:v>2008</c:v>
                </c:pt>
                <c:pt idx="19">
                  <c:v>2009</c:v>
                </c:pt>
                <c:pt idx="20">
                  <c:v>2010</c:v>
                </c:pt>
                <c:pt idx="21">
                  <c:v>2011</c:v>
                </c:pt>
                <c:pt idx="22">
                  <c:v>2012</c:v>
                </c:pt>
                <c:pt idx="23">
                  <c:v>2013</c:v>
                </c:pt>
                <c:pt idx="24">
                  <c:v>2014</c:v>
                </c:pt>
                <c:pt idx="25">
                  <c:v>2015</c:v>
                </c:pt>
                <c:pt idx="26">
                  <c:v>2016</c:v>
                </c:pt>
                <c:pt idx="27">
                  <c:v>2017</c:v>
                </c:pt>
                <c:pt idx="28">
                  <c:v>2018</c:v>
                </c:pt>
              </c:numCache>
            </c:numRef>
          </c:cat>
          <c:val>
            <c:numRef>
              <c:f>'biofuel-production'!$H$7:$AJ$7</c:f>
              <c:numCache>
                <c:formatCode>General</c:formatCode>
                <c:ptCount val="29"/>
                <c:pt idx="0">
                  <c:v>176.69275522586901</c:v>
                </c:pt>
                <c:pt idx="1">
                  <c:v>204.73922446689099</c:v>
                </c:pt>
                <c:pt idx="2">
                  <c:v>232.785693707912</c:v>
                </c:pt>
                <c:pt idx="3">
                  <c:v>272.79643658810301</c:v>
                </c:pt>
                <c:pt idx="4">
                  <c:v>304.60812991021299</c:v>
                </c:pt>
                <c:pt idx="5">
                  <c:v>320.846485690235</c:v>
                </c:pt>
                <c:pt idx="6">
                  <c:v>230.056607744107</c:v>
                </c:pt>
                <c:pt idx="7">
                  <c:v>304.45924523007898</c:v>
                </c:pt>
                <c:pt idx="8">
                  <c:v>332.042613636363</c:v>
                </c:pt>
                <c:pt idx="9">
                  <c:v>352.37529812009001</c:v>
                </c:pt>
                <c:pt idx="10">
                  <c:v>396.83921156004499</c:v>
                </c:pt>
                <c:pt idx="11">
                  <c:v>434.25271045537102</c:v>
                </c:pt>
                <c:pt idx="12">
                  <c:v>523.89139195883797</c:v>
                </c:pt>
                <c:pt idx="13">
                  <c:v>682.16487893015403</c:v>
                </c:pt>
                <c:pt idx="14">
                  <c:v>829.28319477011496</c:v>
                </c:pt>
                <c:pt idx="15">
                  <c:v>971.60349041550899</c:v>
                </c:pt>
                <c:pt idx="16">
                  <c:v>1261.0274616640199</c:v>
                </c:pt>
                <c:pt idx="17">
                  <c:v>1769.0484225396599</c:v>
                </c:pt>
                <c:pt idx="18">
                  <c:v>2497.72353714562</c:v>
                </c:pt>
                <c:pt idx="19">
                  <c:v>2851.9141738606299</c:v>
                </c:pt>
                <c:pt idx="20">
                  <c:v>3362.7191456739902</c:v>
                </c:pt>
                <c:pt idx="21">
                  <c:v>3744.63069517652</c:v>
                </c:pt>
                <c:pt idx="22">
                  <c:v>3589.74704287845</c:v>
                </c:pt>
                <c:pt idx="23">
                  <c:v>3730.6105631394198</c:v>
                </c:pt>
                <c:pt idx="24">
                  <c:v>3956.1923891425699</c:v>
                </c:pt>
                <c:pt idx="25">
                  <c:v>4072.5877914533899</c:v>
                </c:pt>
                <c:pt idx="26">
                  <c:v>4332.9081078485297</c:v>
                </c:pt>
                <c:pt idx="27">
                  <c:v>4477.9756910552796</c:v>
                </c:pt>
                <c:pt idx="28">
                  <c:v>4598.0662755205503</c:v>
                </c:pt>
              </c:numCache>
            </c:numRef>
          </c:val>
          <c:extLst>
            <c:ext xmlns:c16="http://schemas.microsoft.com/office/drawing/2014/chart" uri="{C3380CC4-5D6E-409C-BE32-E72D297353CC}">
              <c16:uniqueId val="{00000005-9B3D-48C2-BDAA-A854792CCA33}"/>
            </c:ext>
          </c:extLst>
        </c:ser>
        <c:dLbls>
          <c:showLegendKey val="0"/>
          <c:showVal val="0"/>
          <c:showCatName val="0"/>
          <c:showSerName val="0"/>
          <c:showPercent val="0"/>
          <c:showBubbleSize val="0"/>
        </c:dLbls>
        <c:axId val="-1751046560"/>
        <c:axId val="-1751065600"/>
      </c:areaChart>
      <c:catAx>
        <c:axId val="-175104656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65600"/>
        <c:crosses val="autoZero"/>
        <c:auto val="1"/>
        <c:lblAlgn val="ctr"/>
        <c:lblOffset val="100"/>
        <c:noMultiLvlLbl val="0"/>
      </c:catAx>
      <c:valAx>
        <c:axId val="-17510656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4656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zero"/>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b="1"/>
              <a:t>Produkcja energii</a:t>
            </a:r>
            <a:r>
              <a:rPr lang="pl-PL" b="1" baseline="0"/>
              <a:t> geotermalnej</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lineChart>
        <c:grouping val="standard"/>
        <c:varyColors val="0"/>
        <c:ser>
          <c:idx val="0"/>
          <c:order val="0"/>
          <c:tx>
            <c:strRef>
              <c:f>'installed-geothermal-capacity'!$F$254</c:f>
              <c:strCache>
                <c:ptCount val="1"/>
                <c:pt idx="0">
                  <c:v>Iceland</c:v>
                </c:pt>
              </c:strCache>
            </c:strRef>
          </c:tx>
          <c:spPr>
            <a:ln w="28575" cap="rnd">
              <a:solidFill>
                <a:schemeClr val="accent1"/>
              </a:solidFill>
              <a:round/>
            </a:ln>
            <a:effectLst/>
          </c:spPr>
          <c:marker>
            <c:symbol val="none"/>
          </c:marker>
          <c:cat>
            <c:numRef>
              <c:f>'installed-geothermal-capacity'!$G$1:$AA$253</c:f>
              <c:numCache>
                <c:formatCode>General</c:formatCode>
                <c:ptCount val="21"/>
                <c:pt idx="0">
                  <c:v>1990</c:v>
                </c:pt>
                <c:pt idx="1">
                  <c:v>1995</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'installed-geothermal-capacity'!$G$254:$AA$254</c:f>
              <c:numCache>
                <c:formatCode>General</c:formatCode>
                <c:ptCount val="21"/>
                <c:pt idx="0">
                  <c:v>44.8</c:v>
                </c:pt>
                <c:pt idx="1">
                  <c:v>49.6</c:v>
                </c:pt>
                <c:pt idx="2">
                  <c:v>172</c:v>
                </c:pt>
                <c:pt idx="3">
                  <c:v>202</c:v>
                </c:pt>
                <c:pt idx="4">
                  <c:v>202</c:v>
                </c:pt>
                <c:pt idx="5">
                  <c:v>202</c:v>
                </c:pt>
                <c:pt idx="6">
                  <c:v>202</c:v>
                </c:pt>
                <c:pt idx="7">
                  <c:v>232</c:v>
                </c:pt>
                <c:pt idx="8">
                  <c:v>422</c:v>
                </c:pt>
                <c:pt idx="9">
                  <c:v>485</c:v>
                </c:pt>
                <c:pt idx="10">
                  <c:v>575</c:v>
                </c:pt>
                <c:pt idx="11">
                  <c:v>575</c:v>
                </c:pt>
                <c:pt idx="12">
                  <c:v>575</c:v>
                </c:pt>
                <c:pt idx="13">
                  <c:v>665</c:v>
                </c:pt>
                <c:pt idx="14">
                  <c:v>665</c:v>
                </c:pt>
                <c:pt idx="15">
                  <c:v>665</c:v>
                </c:pt>
                <c:pt idx="16">
                  <c:v>665</c:v>
                </c:pt>
                <c:pt idx="17">
                  <c:v>665</c:v>
                </c:pt>
                <c:pt idx="18">
                  <c:v>663</c:v>
                </c:pt>
                <c:pt idx="19">
                  <c:v>708</c:v>
                </c:pt>
                <c:pt idx="20">
                  <c:v>753</c:v>
                </c:pt>
              </c:numCache>
            </c:numRef>
          </c:val>
          <c:smooth val="0"/>
          <c:extLst>
            <c:ext xmlns:c16="http://schemas.microsoft.com/office/drawing/2014/chart" uri="{C3380CC4-5D6E-409C-BE32-E72D297353CC}">
              <c16:uniqueId val="{00000000-7933-4A1F-8005-8927B947BACF}"/>
            </c:ext>
          </c:extLst>
        </c:ser>
        <c:ser>
          <c:idx val="1"/>
          <c:order val="1"/>
          <c:tx>
            <c:strRef>
              <c:f>'installed-geothermal-capacity'!$F$255</c:f>
              <c:strCache>
                <c:ptCount val="1"/>
                <c:pt idx="0">
                  <c:v>Indonesia</c:v>
                </c:pt>
              </c:strCache>
            </c:strRef>
          </c:tx>
          <c:spPr>
            <a:ln w="28575" cap="rnd">
              <a:solidFill>
                <a:schemeClr val="accent2"/>
              </a:solidFill>
              <a:round/>
            </a:ln>
            <a:effectLst/>
          </c:spPr>
          <c:marker>
            <c:symbol val="none"/>
          </c:marker>
          <c:cat>
            <c:numRef>
              <c:f>'installed-geothermal-capacity'!$G$1:$AA$253</c:f>
              <c:numCache>
                <c:formatCode>General</c:formatCode>
                <c:ptCount val="21"/>
                <c:pt idx="0">
                  <c:v>1990</c:v>
                </c:pt>
                <c:pt idx="1">
                  <c:v>1995</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'installed-geothermal-capacity'!$G$255:$AA$255</c:f>
              <c:numCache>
                <c:formatCode>General</c:formatCode>
                <c:ptCount val="21"/>
                <c:pt idx="0">
                  <c:v>144.80000000000001</c:v>
                </c:pt>
                <c:pt idx="1">
                  <c:v>309.8</c:v>
                </c:pt>
                <c:pt idx="2">
                  <c:v>525</c:v>
                </c:pt>
                <c:pt idx="3">
                  <c:v>785</c:v>
                </c:pt>
                <c:pt idx="4">
                  <c:v>785</c:v>
                </c:pt>
                <c:pt idx="5">
                  <c:v>805</c:v>
                </c:pt>
                <c:pt idx="6">
                  <c:v>820</c:v>
                </c:pt>
                <c:pt idx="7">
                  <c:v>850</c:v>
                </c:pt>
                <c:pt idx="8">
                  <c:v>850</c:v>
                </c:pt>
                <c:pt idx="9">
                  <c:v>980</c:v>
                </c:pt>
                <c:pt idx="10">
                  <c:v>1052</c:v>
                </c:pt>
                <c:pt idx="11">
                  <c:v>1189</c:v>
                </c:pt>
                <c:pt idx="12">
                  <c:v>1189</c:v>
                </c:pt>
                <c:pt idx="13">
                  <c:v>1226</c:v>
                </c:pt>
                <c:pt idx="14">
                  <c:v>1336</c:v>
                </c:pt>
                <c:pt idx="15">
                  <c:v>1343.5</c:v>
                </c:pt>
                <c:pt idx="16">
                  <c:v>1403.5</c:v>
                </c:pt>
                <c:pt idx="17">
                  <c:v>1438.5</c:v>
                </c:pt>
                <c:pt idx="18">
                  <c:v>1643.5</c:v>
                </c:pt>
                <c:pt idx="19">
                  <c:v>1808.5</c:v>
                </c:pt>
                <c:pt idx="20">
                  <c:v>1945.5</c:v>
                </c:pt>
              </c:numCache>
            </c:numRef>
          </c:val>
          <c:smooth val="0"/>
          <c:extLst>
            <c:ext xmlns:c16="http://schemas.microsoft.com/office/drawing/2014/chart" uri="{C3380CC4-5D6E-409C-BE32-E72D297353CC}">
              <c16:uniqueId val="{00000001-7933-4A1F-8005-8927B947BACF}"/>
            </c:ext>
          </c:extLst>
        </c:ser>
        <c:ser>
          <c:idx val="2"/>
          <c:order val="2"/>
          <c:tx>
            <c:strRef>
              <c:f>'installed-geothermal-capacity'!$F$256</c:f>
              <c:strCache>
                <c:ptCount val="1"/>
                <c:pt idx="0">
                  <c:v>Italy</c:v>
                </c:pt>
              </c:strCache>
            </c:strRef>
          </c:tx>
          <c:spPr>
            <a:ln w="28575" cap="rnd">
              <a:solidFill>
                <a:schemeClr val="accent3"/>
              </a:solidFill>
              <a:round/>
            </a:ln>
            <a:effectLst/>
          </c:spPr>
          <c:marker>
            <c:symbol val="none"/>
          </c:marker>
          <c:cat>
            <c:numRef>
              <c:f>'installed-geothermal-capacity'!$G$1:$AA$253</c:f>
              <c:numCache>
                <c:formatCode>General</c:formatCode>
                <c:ptCount val="21"/>
                <c:pt idx="0">
                  <c:v>1990</c:v>
                </c:pt>
                <c:pt idx="1">
                  <c:v>1995</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'installed-geothermal-capacity'!$G$256:$AA$256</c:f>
              <c:numCache>
                <c:formatCode>General</c:formatCode>
                <c:ptCount val="21"/>
                <c:pt idx="0">
                  <c:v>545</c:v>
                </c:pt>
                <c:pt idx="1">
                  <c:v>631.70000000000005</c:v>
                </c:pt>
                <c:pt idx="2">
                  <c:v>590</c:v>
                </c:pt>
                <c:pt idx="3">
                  <c:v>573</c:v>
                </c:pt>
                <c:pt idx="4">
                  <c:v>666</c:v>
                </c:pt>
                <c:pt idx="5">
                  <c:v>707</c:v>
                </c:pt>
                <c:pt idx="6">
                  <c:v>642</c:v>
                </c:pt>
                <c:pt idx="7">
                  <c:v>671</c:v>
                </c:pt>
                <c:pt idx="8">
                  <c:v>671</c:v>
                </c:pt>
                <c:pt idx="9">
                  <c:v>671</c:v>
                </c:pt>
                <c:pt idx="10">
                  <c:v>671</c:v>
                </c:pt>
                <c:pt idx="11">
                  <c:v>695</c:v>
                </c:pt>
                <c:pt idx="12">
                  <c:v>728</c:v>
                </c:pt>
                <c:pt idx="13">
                  <c:v>728</c:v>
                </c:pt>
                <c:pt idx="14">
                  <c:v>728</c:v>
                </c:pt>
                <c:pt idx="15">
                  <c:v>729</c:v>
                </c:pt>
                <c:pt idx="16">
                  <c:v>768</c:v>
                </c:pt>
                <c:pt idx="17">
                  <c:v>768</c:v>
                </c:pt>
                <c:pt idx="18">
                  <c:v>767</c:v>
                </c:pt>
                <c:pt idx="19">
                  <c:v>767.2</c:v>
                </c:pt>
                <c:pt idx="20">
                  <c:v>767.2</c:v>
                </c:pt>
              </c:numCache>
            </c:numRef>
          </c:val>
          <c:smooth val="0"/>
          <c:extLst>
            <c:ext xmlns:c16="http://schemas.microsoft.com/office/drawing/2014/chart" uri="{C3380CC4-5D6E-409C-BE32-E72D297353CC}">
              <c16:uniqueId val="{00000002-7933-4A1F-8005-8927B947BACF}"/>
            </c:ext>
          </c:extLst>
        </c:ser>
        <c:ser>
          <c:idx val="3"/>
          <c:order val="3"/>
          <c:tx>
            <c:strRef>
              <c:f>'installed-geothermal-capacity'!$F$257</c:f>
              <c:strCache>
                <c:ptCount val="1"/>
                <c:pt idx="0">
                  <c:v>Mexico</c:v>
                </c:pt>
              </c:strCache>
            </c:strRef>
          </c:tx>
          <c:spPr>
            <a:ln w="28575" cap="rnd">
              <a:solidFill>
                <a:schemeClr val="accent4"/>
              </a:solidFill>
              <a:round/>
            </a:ln>
            <a:effectLst/>
          </c:spPr>
          <c:marker>
            <c:symbol val="none"/>
          </c:marker>
          <c:cat>
            <c:numRef>
              <c:f>'installed-geothermal-capacity'!$G$1:$AA$253</c:f>
              <c:numCache>
                <c:formatCode>General</c:formatCode>
                <c:ptCount val="21"/>
                <c:pt idx="0">
                  <c:v>1990</c:v>
                </c:pt>
                <c:pt idx="1">
                  <c:v>1995</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'installed-geothermal-capacity'!$G$257:$AA$257</c:f>
              <c:numCache>
                <c:formatCode>General</c:formatCode>
                <c:ptCount val="21"/>
                <c:pt idx="0">
                  <c:v>743</c:v>
                </c:pt>
                <c:pt idx="1">
                  <c:v>743</c:v>
                </c:pt>
                <c:pt idx="2">
                  <c:v>855</c:v>
                </c:pt>
                <c:pt idx="3">
                  <c:v>838</c:v>
                </c:pt>
                <c:pt idx="4">
                  <c:v>843</c:v>
                </c:pt>
                <c:pt idx="5">
                  <c:v>960</c:v>
                </c:pt>
                <c:pt idx="6">
                  <c:v>960</c:v>
                </c:pt>
                <c:pt idx="7">
                  <c:v>960</c:v>
                </c:pt>
                <c:pt idx="8">
                  <c:v>960</c:v>
                </c:pt>
                <c:pt idx="9">
                  <c:v>960</c:v>
                </c:pt>
                <c:pt idx="10">
                  <c:v>963</c:v>
                </c:pt>
                <c:pt idx="11">
                  <c:v>965</c:v>
                </c:pt>
                <c:pt idx="12">
                  <c:v>965</c:v>
                </c:pt>
                <c:pt idx="13">
                  <c:v>887</c:v>
                </c:pt>
                <c:pt idx="14">
                  <c:v>824</c:v>
                </c:pt>
                <c:pt idx="15">
                  <c:v>823</c:v>
                </c:pt>
                <c:pt idx="16">
                  <c:v>813</c:v>
                </c:pt>
                <c:pt idx="17">
                  <c:v>906</c:v>
                </c:pt>
                <c:pt idx="18">
                  <c:v>926</c:v>
                </c:pt>
                <c:pt idx="19">
                  <c:v>925.7</c:v>
                </c:pt>
                <c:pt idx="20">
                  <c:v>950.6</c:v>
                </c:pt>
              </c:numCache>
            </c:numRef>
          </c:val>
          <c:smooth val="0"/>
          <c:extLst>
            <c:ext xmlns:c16="http://schemas.microsoft.com/office/drawing/2014/chart" uri="{C3380CC4-5D6E-409C-BE32-E72D297353CC}">
              <c16:uniqueId val="{00000003-7933-4A1F-8005-8927B947BACF}"/>
            </c:ext>
          </c:extLst>
        </c:ser>
        <c:ser>
          <c:idx val="4"/>
          <c:order val="4"/>
          <c:tx>
            <c:strRef>
              <c:f>'installed-geothermal-capacity'!$F$258</c:f>
              <c:strCache>
                <c:ptCount val="1"/>
                <c:pt idx="0">
                  <c:v>New Zealand</c:v>
                </c:pt>
              </c:strCache>
            </c:strRef>
          </c:tx>
          <c:spPr>
            <a:ln w="28575" cap="rnd">
              <a:solidFill>
                <a:schemeClr val="accent5"/>
              </a:solidFill>
              <a:round/>
            </a:ln>
            <a:effectLst/>
          </c:spPr>
          <c:marker>
            <c:symbol val="none"/>
          </c:marker>
          <c:cat>
            <c:numRef>
              <c:f>'installed-geothermal-capacity'!$G$1:$AA$253</c:f>
              <c:numCache>
                <c:formatCode>General</c:formatCode>
                <c:ptCount val="21"/>
                <c:pt idx="0">
                  <c:v>1990</c:v>
                </c:pt>
                <c:pt idx="1">
                  <c:v>1995</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'installed-geothermal-capacity'!$G$258:$AA$258</c:f>
              <c:numCache>
                <c:formatCode>General</c:formatCode>
                <c:ptCount val="21"/>
                <c:pt idx="0">
                  <c:v>261</c:v>
                </c:pt>
                <c:pt idx="1">
                  <c:v>265</c:v>
                </c:pt>
                <c:pt idx="2">
                  <c:v>418</c:v>
                </c:pt>
                <c:pt idx="3">
                  <c:v>417</c:v>
                </c:pt>
                <c:pt idx="4">
                  <c:v>373</c:v>
                </c:pt>
                <c:pt idx="5">
                  <c:v>378</c:v>
                </c:pt>
                <c:pt idx="6">
                  <c:v>378</c:v>
                </c:pt>
                <c:pt idx="7">
                  <c:v>433</c:v>
                </c:pt>
                <c:pt idx="8">
                  <c:v>433</c:v>
                </c:pt>
                <c:pt idx="9">
                  <c:v>451</c:v>
                </c:pt>
                <c:pt idx="10">
                  <c:v>593</c:v>
                </c:pt>
                <c:pt idx="11">
                  <c:v>633</c:v>
                </c:pt>
                <c:pt idx="12">
                  <c:v>731</c:v>
                </c:pt>
                <c:pt idx="13">
                  <c:v>731</c:v>
                </c:pt>
                <c:pt idx="14">
                  <c:v>731</c:v>
                </c:pt>
                <c:pt idx="15">
                  <c:v>813</c:v>
                </c:pt>
                <c:pt idx="16">
                  <c:v>979</c:v>
                </c:pt>
                <c:pt idx="17">
                  <c:v>986</c:v>
                </c:pt>
                <c:pt idx="18">
                  <c:v>971</c:v>
                </c:pt>
                <c:pt idx="19">
                  <c:v>971</c:v>
                </c:pt>
                <c:pt idx="20">
                  <c:v>996</c:v>
                </c:pt>
              </c:numCache>
            </c:numRef>
          </c:val>
          <c:smooth val="0"/>
          <c:extLst>
            <c:ext xmlns:c16="http://schemas.microsoft.com/office/drawing/2014/chart" uri="{C3380CC4-5D6E-409C-BE32-E72D297353CC}">
              <c16:uniqueId val="{00000004-7933-4A1F-8005-8927B947BACF}"/>
            </c:ext>
          </c:extLst>
        </c:ser>
        <c:ser>
          <c:idx val="5"/>
          <c:order val="5"/>
          <c:tx>
            <c:strRef>
              <c:f>'installed-geothermal-capacity'!$F$259</c:f>
              <c:strCache>
                <c:ptCount val="1"/>
                <c:pt idx="0">
                  <c:v>Philippines</c:v>
                </c:pt>
              </c:strCache>
            </c:strRef>
          </c:tx>
          <c:spPr>
            <a:ln w="28575" cap="rnd">
              <a:solidFill>
                <a:schemeClr val="accent6"/>
              </a:solidFill>
              <a:round/>
            </a:ln>
            <a:effectLst/>
          </c:spPr>
          <c:marker>
            <c:symbol val="none"/>
          </c:marker>
          <c:cat>
            <c:numRef>
              <c:f>'installed-geothermal-capacity'!$G$1:$AA$253</c:f>
              <c:numCache>
                <c:formatCode>General</c:formatCode>
                <c:ptCount val="21"/>
                <c:pt idx="0">
                  <c:v>1990</c:v>
                </c:pt>
                <c:pt idx="1">
                  <c:v>1995</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'installed-geothermal-capacity'!$G$259:$AA$259</c:f>
              <c:numCache>
                <c:formatCode>General</c:formatCode>
                <c:ptCount val="21"/>
                <c:pt idx="0">
                  <c:v>888</c:v>
                </c:pt>
                <c:pt idx="1">
                  <c:v>1154</c:v>
                </c:pt>
                <c:pt idx="2">
                  <c:v>1846.5</c:v>
                </c:pt>
                <c:pt idx="3">
                  <c:v>1846.5</c:v>
                </c:pt>
                <c:pt idx="4">
                  <c:v>1846.5</c:v>
                </c:pt>
                <c:pt idx="5">
                  <c:v>1846.5</c:v>
                </c:pt>
                <c:pt idx="6">
                  <c:v>1846.5</c:v>
                </c:pt>
                <c:pt idx="7">
                  <c:v>1846.5</c:v>
                </c:pt>
                <c:pt idx="8">
                  <c:v>1846.5</c:v>
                </c:pt>
                <c:pt idx="9">
                  <c:v>1846.5</c:v>
                </c:pt>
                <c:pt idx="10">
                  <c:v>1846.5</c:v>
                </c:pt>
                <c:pt idx="11">
                  <c:v>1846.5</c:v>
                </c:pt>
                <c:pt idx="12">
                  <c:v>1846.5</c:v>
                </c:pt>
                <c:pt idx="13">
                  <c:v>1846.5</c:v>
                </c:pt>
                <c:pt idx="14">
                  <c:v>1846.5</c:v>
                </c:pt>
                <c:pt idx="15">
                  <c:v>1846.5</c:v>
                </c:pt>
                <c:pt idx="16">
                  <c:v>1915.9</c:v>
                </c:pt>
                <c:pt idx="17">
                  <c:v>1915.9</c:v>
                </c:pt>
                <c:pt idx="18">
                  <c:v>1915.9</c:v>
                </c:pt>
                <c:pt idx="19">
                  <c:v>1915.9</c:v>
                </c:pt>
                <c:pt idx="20">
                  <c:v>1927.9</c:v>
                </c:pt>
              </c:numCache>
            </c:numRef>
          </c:val>
          <c:smooth val="0"/>
          <c:extLst>
            <c:ext xmlns:c16="http://schemas.microsoft.com/office/drawing/2014/chart" uri="{C3380CC4-5D6E-409C-BE32-E72D297353CC}">
              <c16:uniqueId val="{00000005-7933-4A1F-8005-8927B947BACF}"/>
            </c:ext>
          </c:extLst>
        </c:ser>
        <c:ser>
          <c:idx val="6"/>
          <c:order val="6"/>
          <c:tx>
            <c:strRef>
              <c:f>'installed-geothermal-capacity'!$F$260</c:f>
              <c:strCache>
                <c:ptCount val="1"/>
                <c:pt idx="0">
                  <c:v>Turkey</c:v>
                </c:pt>
              </c:strCache>
            </c:strRef>
          </c:tx>
          <c:spPr>
            <a:ln w="28575" cap="rnd">
              <a:solidFill>
                <a:schemeClr val="accent1">
                  <a:lumMod val="60000"/>
                </a:schemeClr>
              </a:solidFill>
              <a:round/>
            </a:ln>
            <a:effectLst/>
          </c:spPr>
          <c:marker>
            <c:symbol val="none"/>
          </c:marker>
          <c:cat>
            <c:numRef>
              <c:f>'installed-geothermal-capacity'!$G$1:$AA$253</c:f>
              <c:numCache>
                <c:formatCode>General</c:formatCode>
                <c:ptCount val="21"/>
                <c:pt idx="0">
                  <c:v>1990</c:v>
                </c:pt>
                <c:pt idx="1">
                  <c:v>1995</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'installed-geothermal-capacity'!$G$260:$AA$260</c:f>
              <c:numCache>
                <c:formatCode>General</c:formatCode>
                <c:ptCount val="21"/>
                <c:pt idx="0">
                  <c:v>20.6</c:v>
                </c:pt>
                <c:pt idx="1">
                  <c:v>20.399999999999999</c:v>
                </c:pt>
                <c:pt idx="2">
                  <c:v>18</c:v>
                </c:pt>
                <c:pt idx="3">
                  <c:v>18</c:v>
                </c:pt>
                <c:pt idx="4">
                  <c:v>18</c:v>
                </c:pt>
                <c:pt idx="5">
                  <c:v>15</c:v>
                </c:pt>
                <c:pt idx="6">
                  <c:v>15</c:v>
                </c:pt>
                <c:pt idx="7">
                  <c:v>15</c:v>
                </c:pt>
                <c:pt idx="8">
                  <c:v>23</c:v>
                </c:pt>
                <c:pt idx="9">
                  <c:v>23</c:v>
                </c:pt>
                <c:pt idx="10">
                  <c:v>30</c:v>
                </c:pt>
                <c:pt idx="11">
                  <c:v>77</c:v>
                </c:pt>
                <c:pt idx="12">
                  <c:v>94</c:v>
                </c:pt>
                <c:pt idx="13">
                  <c:v>114</c:v>
                </c:pt>
                <c:pt idx="14">
                  <c:v>162</c:v>
                </c:pt>
                <c:pt idx="15">
                  <c:v>311</c:v>
                </c:pt>
                <c:pt idx="16">
                  <c:v>405</c:v>
                </c:pt>
                <c:pt idx="17">
                  <c:v>624</c:v>
                </c:pt>
                <c:pt idx="18">
                  <c:v>821</c:v>
                </c:pt>
                <c:pt idx="19">
                  <c:v>1063.7</c:v>
                </c:pt>
                <c:pt idx="20">
                  <c:v>1282.5</c:v>
                </c:pt>
              </c:numCache>
            </c:numRef>
          </c:val>
          <c:smooth val="0"/>
          <c:extLst>
            <c:ext xmlns:c16="http://schemas.microsoft.com/office/drawing/2014/chart" uri="{C3380CC4-5D6E-409C-BE32-E72D297353CC}">
              <c16:uniqueId val="{00000006-7933-4A1F-8005-8927B947BACF}"/>
            </c:ext>
          </c:extLst>
        </c:ser>
        <c:ser>
          <c:idx val="7"/>
          <c:order val="7"/>
          <c:tx>
            <c:strRef>
              <c:f>'installed-geothermal-capacity'!$F$261</c:f>
              <c:strCache>
                <c:ptCount val="1"/>
                <c:pt idx="0">
                  <c:v>United States</c:v>
                </c:pt>
              </c:strCache>
            </c:strRef>
          </c:tx>
          <c:spPr>
            <a:ln w="28575" cap="rnd">
              <a:solidFill>
                <a:schemeClr val="accent2">
                  <a:lumMod val="60000"/>
                </a:schemeClr>
              </a:solidFill>
              <a:round/>
            </a:ln>
            <a:effectLst/>
          </c:spPr>
          <c:marker>
            <c:symbol val="none"/>
          </c:marker>
          <c:cat>
            <c:numRef>
              <c:f>'installed-geothermal-capacity'!$G$1:$AA$253</c:f>
              <c:numCache>
                <c:formatCode>General</c:formatCode>
                <c:ptCount val="21"/>
                <c:pt idx="0">
                  <c:v>1990</c:v>
                </c:pt>
                <c:pt idx="1">
                  <c:v>1995</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'installed-geothermal-capacity'!$G$261:$AA$261</c:f>
              <c:numCache>
                <c:formatCode>General</c:formatCode>
                <c:ptCount val="21"/>
                <c:pt idx="0">
                  <c:v>2913.5</c:v>
                </c:pt>
                <c:pt idx="1">
                  <c:v>3170.96</c:v>
                </c:pt>
                <c:pt idx="2">
                  <c:v>2942</c:v>
                </c:pt>
                <c:pt idx="3">
                  <c:v>3003</c:v>
                </c:pt>
                <c:pt idx="4">
                  <c:v>3029</c:v>
                </c:pt>
                <c:pt idx="5">
                  <c:v>3036</c:v>
                </c:pt>
                <c:pt idx="6">
                  <c:v>3094</c:v>
                </c:pt>
                <c:pt idx="7">
                  <c:v>3129</c:v>
                </c:pt>
                <c:pt idx="8">
                  <c:v>3171</c:v>
                </c:pt>
                <c:pt idx="9">
                  <c:v>3233</c:v>
                </c:pt>
                <c:pt idx="10">
                  <c:v>3243</c:v>
                </c:pt>
                <c:pt idx="11">
                  <c:v>3421</c:v>
                </c:pt>
                <c:pt idx="12">
                  <c:v>3498</c:v>
                </c:pt>
                <c:pt idx="13">
                  <c:v>3499.8</c:v>
                </c:pt>
                <c:pt idx="14">
                  <c:v>3724</c:v>
                </c:pt>
                <c:pt idx="15">
                  <c:v>3765</c:v>
                </c:pt>
                <c:pt idx="16">
                  <c:v>3757</c:v>
                </c:pt>
                <c:pt idx="17">
                  <c:v>3811.8</c:v>
                </c:pt>
                <c:pt idx="18">
                  <c:v>3804.6</c:v>
                </c:pt>
                <c:pt idx="19">
                  <c:v>3732.4</c:v>
                </c:pt>
                <c:pt idx="20">
                  <c:v>3801</c:v>
                </c:pt>
              </c:numCache>
            </c:numRef>
          </c:val>
          <c:smooth val="0"/>
          <c:extLst>
            <c:ext xmlns:c16="http://schemas.microsoft.com/office/drawing/2014/chart" uri="{C3380CC4-5D6E-409C-BE32-E72D297353CC}">
              <c16:uniqueId val="{00000007-7933-4A1F-8005-8927B947BACF}"/>
            </c:ext>
          </c:extLst>
        </c:ser>
        <c:dLbls>
          <c:showLegendKey val="0"/>
          <c:showVal val="0"/>
          <c:showCatName val="0"/>
          <c:showSerName val="0"/>
          <c:showPercent val="0"/>
          <c:showBubbleSize val="0"/>
        </c:dLbls>
        <c:smooth val="0"/>
        <c:axId val="-1751046016"/>
        <c:axId val="-1751042752"/>
      </c:lineChart>
      <c:catAx>
        <c:axId val="-1751046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42752"/>
        <c:crosses val="autoZero"/>
        <c:auto val="1"/>
        <c:lblAlgn val="ctr"/>
        <c:lblOffset val="100"/>
        <c:noMultiLvlLbl val="0"/>
      </c:catAx>
      <c:valAx>
        <c:axId val="-17510427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Megawatts</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46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b="1" baseline="0"/>
              <a:t>Produkcja plastiku w róznych sektorach, 2015</a:t>
            </a:r>
            <a:endParaRPr lang="en-GB"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Sheet7!$A$2:$A$9</c:f>
              <c:strCache>
                <c:ptCount val="8"/>
                <c:pt idx="0">
                  <c:v>Packaging</c:v>
                </c:pt>
                <c:pt idx="1">
                  <c:v>Other sector</c:v>
                </c:pt>
                <c:pt idx="2">
                  <c:v>Textiles</c:v>
                </c:pt>
                <c:pt idx="3">
                  <c:v>Consumer &amp; Institutional products</c:v>
                </c:pt>
                <c:pt idx="4">
                  <c:v>Transportation</c:v>
                </c:pt>
                <c:pt idx="5">
                  <c:v>Building &amp; Construction</c:v>
                </c:pt>
                <c:pt idx="6">
                  <c:v>Electronics</c:v>
                </c:pt>
                <c:pt idx="7">
                  <c:v>Industrial Machinery</c:v>
                </c:pt>
              </c:strCache>
            </c:strRef>
          </c:cat>
          <c:val>
            <c:numRef>
              <c:f>Sheet7!$B$2:$B$9</c:f>
              <c:numCache>
                <c:formatCode>General</c:formatCode>
                <c:ptCount val="8"/>
                <c:pt idx="0">
                  <c:v>141</c:v>
                </c:pt>
                <c:pt idx="1">
                  <c:v>42</c:v>
                </c:pt>
                <c:pt idx="2">
                  <c:v>38</c:v>
                </c:pt>
                <c:pt idx="3">
                  <c:v>37</c:v>
                </c:pt>
                <c:pt idx="4">
                  <c:v>17</c:v>
                </c:pt>
                <c:pt idx="5">
                  <c:v>13</c:v>
                </c:pt>
                <c:pt idx="6">
                  <c:v>13</c:v>
                </c:pt>
                <c:pt idx="7">
                  <c:v>1</c:v>
                </c:pt>
              </c:numCache>
            </c:numRef>
          </c:val>
          <c:extLst>
            <c:ext xmlns:c16="http://schemas.microsoft.com/office/drawing/2014/chart" uri="{C3380CC4-5D6E-409C-BE32-E72D297353CC}">
              <c16:uniqueId val="{00000000-A7A3-45EF-8EBB-D453B85458B4}"/>
            </c:ext>
          </c:extLst>
        </c:ser>
        <c:dLbls>
          <c:dLblPos val="outEnd"/>
          <c:showLegendKey val="0"/>
          <c:showVal val="1"/>
          <c:showCatName val="0"/>
          <c:showSerName val="0"/>
          <c:showPercent val="0"/>
          <c:showBubbleSize val="0"/>
        </c:dLbls>
        <c:gapWidth val="182"/>
        <c:axId val="-1751041664"/>
        <c:axId val="-1751045472"/>
      </c:barChart>
      <c:catAx>
        <c:axId val="-175104166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45472"/>
        <c:crosses val="autoZero"/>
        <c:auto val="1"/>
        <c:lblAlgn val="ctr"/>
        <c:lblOffset val="100"/>
        <c:noMultiLvlLbl val="0"/>
      </c:catAx>
      <c:valAx>
        <c:axId val="-175104547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pl-PL"/>
                  <a:t>Tony na rok</a:t>
                </a:r>
                <a:endParaRPr lang="en-GB"/>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pl-PL"/>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175104166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FF50E-E1D6-42AD-B2AC-9BA1C5F2E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5401</TotalTime>
  <Pages>21</Pages>
  <Words>3073</Words>
  <Characters>18444</Characters>
  <Application>Microsoft Office Word</Application>
  <DocSecurity>0</DocSecurity>
  <Lines>153</Lines>
  <Paragraphs>42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Tarczyk</dc:creator>
  <cp:keywords/>
  <dc:description/>
  <cp:lastModifiedBy>Sławomir Kołodziej</cp:lastModifiedBy>
  <cp:revision>68</cp:revision>
  <cp:lastPrinted>2021-05-21T13:58:00Z</cp:lastPrinted>
  <dcterms:created xsi:type="dcterms:W3CDTF">2019-10-29T15:07:00Z</dcterms:created>
  <dcterms:modified xsi:type="dcterms:W3CDTF">2021-05-21T13:58:00Z</dcterms:modified>
</cp:coreProperties>
</file>